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756D0" w14:textId="77777777" w:rsidR="00AA6919" w:rsidRPr="00DD7F73" w:rsidRDefault="00AA6919" w:rsidP="00AA6919">
      <w:pPr>
        <w:spacing w:after="100"/>
        <w:jc w:val="center"/>
        <w:rPr>
          <w:color w:val="0070C0"/>
          <w:sz w:val="36"/>
          <w:szCs w:val="36"/>
        </w:rPr>
      </w:pPr>
      <w:r>
        <w:rPr>
          <w:rFonts w:ascii="Arial" w:eastAsia="Arial" w:hAnsi="Arial" w:cs="Arial"/>
          <w:b/>
          <w:bCs/>
          <w:color w:val="0070C0"/>
          <w:sz w:val="36"/>
          <w:szCs w:val="36"/>
        </w:rPr>
        <w:t>APORTACIONES Y OBSERVACIONES AL PROYECTO DE REAL DECRETO SOBRE VACUNACIÓN INTERNACIONAL</w:t>
      </w:r>
    </w:p>
    <w:p w14:paraId="46EA3923" w14:textId="77777777" w:rsidR="00AA6919" w:rsidRDefault="00AA6919" w:rsidP="00AA6919">
      <w:pPr>
        <w:spacing w:after="200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Consulta pública previa - 31 de julio a 7 de septiembre de 2026 (Anexo 1) </w:t>
      </w:r>
    </w:p>
    <w:p w14:paraId="229EE0D0" w14:textId="77777777" w:rsidR="00AA6919" w:rsidRDefault="00AA6919" w:rsidP="00AA6919">
      <w:pPr>
        <w:pStyle w:val="Ttulo1"/>
        <w:shd w:val="clear" w:color="auto" w:fill="FFC000" w:themeFill="accent4"/>
        <w:jc w:val="center"/>
        <w:textAlignment w:val="baseline"/>
        <w:rPr>
          <w:rFonts w:ascii="Arial" w:hAnsi="Arial" w:cs="Arial"/>
          <w:b/>
          <w:bCs/>
        </w:rPr>
      </w:pPr>
      <w:r w:rsidRPr="00BB273D">
        <w:rPr>
          <w:rFonts w:ascii="Arial" w:hAnsi="Arial" w:cs="Arial"/>
          <w:b/>
          <w:bCs/>
          <w:color w:val="auto"/>
        </w:rPr>
        <w:t>Registro Electrónico General (REG)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hyperlink r:id="rId5" w:history="1">
        <w:r w:rsidRPr="00A80D10">
          <w:rPr>
            <w:rStyle w:val="Hipervnculo"/>
            <w:rFonts w:ascii="Arial" w:hAnsi="Arial" w:cs="Arial"/>
            <w:b/>
            <w:bCs/>
          </w:rPr>
          <w:t>https://reg.redsara.es/es/</w:t>
        </w:r>
      </w:hyperlink>
      <w:r w:rsidRPr="00B30D14">
        <w:rPr>
          <w:rFonts w:ascii="Arial" w:hAnsi="Arial" w:cs="Arial"/>
          <w:b/>
          <w:bCs/>
        </w:rPr>
        <w:t xml:space="preserve"> </w:t>
      </w:r>
    </w:p>
    <w:p w14:paraId="44235105" w14:textId="77777777" w:rsidR="00AA6919" w:rsidRPr="00BB273D" w:rsidRDefault="00AA6919" w:rsidP="00AA6919">
      <w:pPr>
        <w:pStyle w:val="Ttulo1"/>
        <w:shd w:val="clear" w:color="auto" w:fill="FFC000" w:themeFill="accent4"/>
        <w:jc w:val="center"/>
        <w:textAlignment w:val="baseline"/>
        <w:rPr>
          <w:rFonts w:ascii="Arial" w:hAnsi="Arial" w:cs="Arial"/>
          <w:b/>
          <w:bCs/>
          <w:color w:val="FFFFFF"/>
        </w:rPr>
      </w:pPr>
      <w:r w:rsidRPr="00BB273D">
        <w:rPr>
          <w:rFonts w:ascii="Arial" w:hAnsi="Arial" w:cs="Arial"/>
          <w:b/>
          <w:bCs/>
          <w:color w:val="auto"/>
        </w:rPr>
        <w:t xml:space="preserve">Correo Ministerio Salud: </w:t>
      </w:r>
      <w:hyperlink r:id="rId6" w:history="1">
        <w:r w:rsidRPr="00BB273D">
          <w:rPr>
            <w:rStyle w:val="Hipervnculo"/>
            <w:rFonts w:ascii="Arial" w:eastAsia="Arial" w:hAnsi="Arial" w:cs="Arial"/>
            <w:b/>
            <w:bCs/>
            <w:sz w:val="28"/>
            <w:szCs w:val="28"/>
          </w:rPr>
          <w:t>saniext@sanidad.gob.es</w:t>
        </w:r>
      </w:hyperlink>
    </w:p>
    <w:p w14:paraId="4E9AD93C" w14:textId="77777777" w:rsidR="00C47D2B" w:rsidRDefault="00C47D2B">
      <w:pPr>
        <w:pBdr>
          <w:bottom w:val="single" w:sz="8" w:space="4" w:color="0D2F5E"/>
        </w:pBdr>
        <w:spacing w:before="200" w:after="300"/>
      </w:pPr>
    </w:p>
    <w:p w14:paraId="258CC06B" w14:textId="77777777" w:rsidR="00C47D2B" w:rsidRDefault="00DD26A2">
      <w:pPr>
        <w:spacing w:before="300" w:after="200"/>
      </w:pPr>
      <w:r>
        <w:rPr>
          <w:rFonts w:ascii="Arial" w:eastAsia="Arial" w:hAnsi="Arial" w:cs="Arial"/>
          <w:b/>
          <w:bCs/>
          <w:color w:val="0D2F5E"/>
          <w:sz w:val="28"/>
          <w:szCs w:val="28"/>
        </w:rPr>
        <w:t>IDENTIFICACIÓN DEL PARTICULAR</w:t>
      </w:r>
    </w:p>
    <w:p w14:paraId="23BE98BF" w14:textId="77777777" w:rsidR="00C47D2B" w:rsidRDefault="00DD26A2">
      <w:pPr>
        <w:spacing w:after="140"/>
        <w:jc w:val="both"/>
      </w:pPr>
      <w:r>
        <w:rPr>
          <w:rFonts w:ascii="Arial" w:eastAsia="Arial" w:hAnsi="Arial" w:cs="Arial"/>
          <w:b/>
          <w:bCs/>
          <w:sz w:val="28"/>
          <w:szCs w:val="28"/>
        </w:rPr>
        <w:t xml:space="preserve">Nombre y apellidos: </w:t>
      </w:r>
      <w:r>
        <w:rPr>
          <w:rFonts w:ascii="Arial" w:eastAsia="Arial" w:hAnsi="Arial" w:cs="Arial"/>
          <w:i/>
          <w:iCs/>
          <w:color w:val="808080"/>
          <w:sz w:val="28"/>
          <w:szCs w:val="28"/>
          <w:highlight w:val="lightGray"/>
        </w:rPr>
        <w:t>[A RELLENAR]</w:t>
      </w:r>
    </w:p>
    <w:p w14:paraId="4DD7A850" w14:textId="77777777" w:rsidR="00C47D2B" w:rsidRDefault="00DD26A2">
      <w:pPr>
        <w:spacing w:after="140"/>
        <w:jc w:val="both"/>
      </w:pPr>
      <w:r>
        <w:rPr>
          <w:rFonts w:ascii="Arial" w:eastAsia="Arial" w:hAnsi="Arial" w:cs="Arial"/>
          <w:b/>
          <w:bCs/>
          <w:sz w:val="28"/>
          <w:szCs w:val="28"/>
        </w:rPr>
        <w:t xml:space="preserve">Domicilio: </w:t>
      </w:r>
      <w:r>
        <w:rPr>
          <w:rFonts w:ascii="Arial" w:eastAsia="Arial" w:hAnsi="Arial" w:cs="Arial"/>
          <w:i/>
          <w:iCs/>
          <w:color w:val="808080"/>
          <w:sz w:val="28"/>
          <w:szCs w:val="28"/>
          <w:highlight w:val="lightGray"/>
        </w:rPr>
        <w:t>[A RELLENAR]</w:t>
      </w:r>
    </w:p>
    <w:p w14:paraId="529E7B35" w14:textId="77777777" w:rsidR="00C47D2B" w:rsidRDefault="00DD26A2">
      <w:pPr>
        <w:spacing w:after="140"/>
        <w:jc w:val="both"/>
      </w:pPr>
      <w:r>
        <w:rPr>
          <w:rFonts w:ascii="Arial" w:eastAsia="Arial" w:hAnsi="Arial" w:cs="Arial"/>
          <w:b/>
          <w:bCs/>
          <w:sz w:val="28"/>
          <w:szCs w:val="28"/>
        </w:rPr>
        <w:t xml:space="preserve">DNI: </w:t>
      </w:r>
      <w:r>
        <w:rPr>
          <w:rFonts w:ascii="Arial" w:eastAsia="Arial" w:hAnsi="Arial" w:cs="Arial"/>
          <w:i/>
          <w:iCs/>
          <w:color w:val="808080"/>
          <w:sz w:val="28"/>
          <w:szCs w:val="28"/>
          <w:highlight w:val="lightGray"/>
        </w:rPr>
        <w:t>[A RELLENAR]</w:t>
      </w:r>
    </w:p>
    <w:p w14:paraId="24E97CF1" w14:textId="77777777" w:rsidR="00C47D2B" w:rsidRDefault="00DD26A2">
      <w:pPr>
        <w:spacing w:after="140"/>
        <w:jc w:val="both"/>
      </w:pPr>
      <w:r>
        <w:rPr>
          <w:rFonts w:ascii="Arial" w:eastAsia="Arial" w:hAnsi="Arial" w:cs="Arial"/>
          <w:b/>
          <w:bCs/>
          <w:sz w:val="28"/>
          <w:szCs w:val="28"/>
        </w:rPr>
        <w:t xml:space="preserve">Correo de contacto para acuse de recibo: </w:t>
      </w:r>
      <w:r>
        <w:rPr>
          <w:rFonts w:ascii="Arial" w:eastAsia="Arial" w:hAnsi="Arial" w:cs="Arial"/>
          <w:i/>
          <w:iCs/>
          <w:color w:val="808080"/>
          <w:sz w:val="28"/>
          <w:szCs w:val="28"/>
          <w:highlight w:val="lightGray"/>
        </w:rPr>
        <w:t>[A RELLENAR]</w:t>
      </w:r>
    </w:p>
    <w:p w14:paraId="525DA7B3" w14:textId="77777777" w:rsidR="00B64741" w:rsidRDefault="00B64741" w:rsidP="00B64741">
      <w:pPr>
        <w:spacing w:after="200"/>
        <w:jc w:val="both"/>
      </w:pPr>
      <w:r>
        <w:rPr>
          <w:rFonts w:ascii="Arial" w:eastAsia="Arial" w:hAnsi="Arial" w:cs="Arial"/>
          <w:i/>
          <w:iCs/>
          <w:sz w:val="28"/>
          <w:szCs w:val="28"/>
          <w:highlight w:val="yellow"/>
        </w:rPr>
        <w:t>Cumplimentar estos datos antes de la presentación (Eliminar este texto recordatorio).</w:t>
      </w:r>
    </w:p>
    <w:p w14:paraId="1EA4D991" w14:textId="77777777" w:rsidR="00C47D2B" w:rsidRDefault="00C47D2B">
      <w:pPr>
        <w:pBdr>
          <w:bottom w:val="single" w:sz="8" w:space="4" w:color="0D2F5E"/>
        </w:pBdr>
        <w:spacing w:before="200" w:after="300"/>
      </w:pPr>
    </w:p>
    <w:p w14:paraId="353B45C6" w14:textId="77777777" w:rsidR="00C47D2B" w:rsidRDefault="00DD26A2">
      <w:pPr>
        <w:spacing w:before="300" w:after="200"/>
      </w:pPr>
      <w:r>
        <w:rPr>
          <w:rFonts w:ascii="Arial" w:eastAsia="Arial" w:hAnsi="Arial" w:cs="Arial"/>
          <w:b/>
          <w:bCs/>
          <w:color w:val="0D2F5E"/>
          <w:sz w:val="28"/>
          <w:szCs w:val="28"/>
        </w:rPr>
        <w:t>DECLARACIÓN DE PRINCIPIO</w:t>
      </w:r>
    </w:p>
    <w:p w14:paraId="68129D23" w14:textId="77777777" w:rsidR="003F71AB" w:rsidRDefault="00DD26A2">
      <w:pPr>
        <w:spacing w:after="20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Formulo estas aportaciones desde una premisa que no admite negociación: cada persona tiene derecho a decidir, con libre albedrío, sobre su propio cuerpo y su propia salud.</w:t>
      </w:r>
    </w:p>
    <w:p w14:paraId="3B7FACB3" w14:textId="4B5A73A0" w:rsidR="003F71AB" w:rsidRPr="003F71AB" w:rsidRDefault="00DD26A2">
      <w:pPr>
        <w:spacing w:after="20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Ninguna finalidad sanitaria, por legítima que sea, justifica que la Administración se arrogue la facultad de decidir en su lugar.</w:t>
      </w:r>
    </w:p>
    <w:p w14:paraId="3AF4C806" w14:textId="21344ACE" w:rsidR="003F71AB" w:rsidRPr="003F71AB" w:rsidRDefault="00DD26A2">
      <w:pPr>
        <w:spacing w:after="20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Tampoco se acepta ningún mecanismo de control sanitario sobre las personas, sea cual sea su forma -registro, certificado, alerta, vigilancia individualizada o cualquier otro instrumento- que permita a la Administración seguir, condicionar o restringir la vida de una persona por su situación sanitaria. </w:t>
      </w:r>
    </w:p>
    <w:p w14:paraId="54B06E14" w14:textId="77777777" w:rsidR="003F71AB" w:rsidRDefault="00DD26A2">
      <w:pPr>
        <w:spacing w:after="20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Los datos sanitarios de cada persona le pertenecen: solo pueden ser conocidos por quienes ella autorice expresamente. </w:t>
      </w:r>
    </w:p>
    <w:p w14:paraId="30321E59" w14:textId="6E267702" w:rsidR="003F71AB" w:rsidRPr="003F71AB" w:rsidRDefault="00DD26A2">
      <w:pPr>
        <w:spacing w:after="20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Ni el Estado ni ninguna Administración ostentan un derecho general sobre ellos; disponen únicamente de las facultades tasadas y excepcionales que la ley les reconoce, que deben interpretarse siempre de forma restrictiva. </w:t>
      </w:r>
    </w:p>
    <w:p w14:paraId="3DF09C50" w14:textId="4EC50C93" w:rsidR="00C47D2B" w:rsidRPr="00B64741" w:rsidRDefault="00DD26A2">
      <w:pPr>
        <w:spacing w:after="20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Todo lo que sigue -las exigencias técnicas, las garantías de datos, los procedimientos de farmacovigilancia- se formula como condición añadida a ese principio, nunca como una aceptación de que la Administración pueda imponer una vacunación no querida o instaurar un sistema de control sanitario de la ciudadanía. Si el futuro </w:t>
      </w:r>
      <w:r>
        <w:rPr>
          <w:rFonts w:ascii="Arial" w:eastAsia="Arial" w:hAnsi="Arial" w:cs="Arial"/>
          <w:b/>
          <w:bCs/>
          <w:sz w:val="28"/>
          <w:szCs w:val="28"/>
        </w:rPr>
        <w:t>Real Decreto</w:t>
      </w:r>
      <w:r>
        <w:rPr>
          <w:rFonts w:ascii="Arial" w:eastAsia="Arial" w:hAnsi="Arial" w:cs="Arial"/>
          <w:sz w:val="28"/>
          <w:szCs w:val="28"/>
        </w:rPr>
        <w:t xml:space="preserve"> no respeta este límite, quien suscribe se reserva el ejercicio de cuantas acciones procedan.</w:t>
      </w:r>
    </w:p>
    <w:p w14:paraId="52A98BAB" w14:textId="77777777" w:rsidR="00C47D2B" w:rsidRDefault="00C47D2B">
      <w:pPr>
        <w:pBdr>
          <w:bottom w:val="single" w:sz="8" w:space="4" w:color="0D2F5E"/>
        </w:pBdr>
        <w:spacing w:before="200" w:after="300"/>
      </w:pPr>
    </w:p>
    <w:p w14:paraId="4D5FFA75" w14:textId="77777777" w:rsidR="00C47D2B" w:rsidRDefault="00DD26A2">
      <w:pPr>
        <w:spacing w:before="300" w:after="200"/>
      </w:pPr>
      <w:r>
        <w:rPr>
          <w:rFonts w:ascii="Arial" w:eastAsia="Arial" w:hAnsi="Arial" w:cs="Arial"/>
          <w:b/>
          <w:bCs/>
          <w:color w:val="0D2F5E"/>
          <w:sz w:val="28"/>
          <w:szCs w:val="28"/>
        </w:rPr>
        <w:t>I. OBJETO Y POSICIÓN</w:t>
      </w:r>
    </w:p>
    <w:p w14:paraId="76184473" w14:textId="77777777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>Considero necesaria una regulación clara de la vacunación internacional y de la protección frente a riesgos sanitarios asociados a los desplazamientos internacionales, siempre que dicha regulación se limite a ordenar un servicio de carácter voluntario y no se convierta, por la vía que sea, en un instrumento de imposición.</w:t>
      </w:r>
    </w:p>
    <w:p w14:paraId="1C06E9D7" w14:textId="77777777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>La salud y las decisiones relativas a la propia persona pertenecen a la esfera de autonomía personal. No acepto que una norma reglamentaria, ni ningún instrumento de rango inferior que de ella derive, pueda transformar una recomendación sanitaria, un certificado o un registro de vacunación en una condición general para ejercer derechos fundamentales.</w:t>
      </w:r>
    </w:p>
    <w:p w14:paraId="2911682D" w14:textId="77777777" w:rsidR="00B64741" w:rsidRDefault="00DD26A2">
      <w:pPr>
        <w:spacing w:after="20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La vacunación como actuación sanitaria sobre la persona debe respetar el consentimiento informado y la autonomía personal, sin perjuicio de los requisitos sanitarios de entrada que puedan establecer legítimamente otros Estados o de las medidas excepcionales que puedan resultar aplicables conforme a la legislación vigente. </w:t>
      </w:r>
    </w:p>
    <w:p w14:paraId="50458C8A" w14:textId="26A1D266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>Estas tres realidades deben mantenerse claramente diferenciadas: la recomendación sanitaria que formula España, el requisito que pueda exigir el país de destino, y la medida excepcional de salud pública dentro del ordenamiento español, cada una sometida a su propio régimen jurídico y garantías.</w:t>
      </w:r>
    </w:p>
    <w:p w14:paraId="50458C89" w14:textId="77777777" w:rsidR="00C47D2B" w:rsidRDefault="00DD26A2">
      <w:pPr>
        <w:spacing w:before="300" w:after="200"/>
      </w:pPr>
      <w:r>
        <w:rPr>
          <w:rFonts w:ascii="Arial" w:eastAsia="Arial" w:hAnsi="Arial" w:cs="Arial"/>
          <w:b/>
          <w:bCs/>
          <w:color w:val="0D2F5E"/>
          <w:sz w:val="28"/>
          <w:szCs w:val="28"/>
        </w:rPr>
        <w:t>II. TRANSPARENCIA Y DIFUSIÓN EFECTIVA DEL TRÁMITE DE CONSULTA</w:t>
      </w:r>
    </w:p>
    <w:p w14:paraId="1AAFCC3D" w14:textId="77777777" w:rsidR="003F71AB" w:rsidRDefault="00DD26A2">
      <w:pPr>
        <w:spacing w:after="20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Hago constar que el presente trámite se ha desarrollado en un periodo estival de escasa cobertura informativa general y con un plazo de aportaciones especialmente breve. </w:t>
      </w:r>
    </w:p>
    <w:p w14:paraId="172D3CCA" w14:textId="5C99FDF0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 xml:space="preserve">La </w:t>
      </w:r>
      <w:r>
        <w:rPr>
          <w:rFonts w:ascii="Arial" w:eastAsia="Arial" w:hAnsi="Arial" w:cs="Arial"/>
          <w:b/>
          <w:bCs/>
          <w:sz w:val="28"/>
          <w:szCs w:val="28"/>
        </w:rPr>
        <w:t>Orden PRE/1590/2016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(Anexo 2)</w:t>
      </w:r>
      <w:r>
        <w:rPr>
          <w:rFonts w:ascii="Arial" w:eastAsia="Arial" w:hAnsi="Arial" w:cs="Arial"/>
          <w:sz w:val="28"/>
          <w:szCs w:val="28"/>
        </w:rPr>
        <w:t xml:space="preserve">, por la que se publica el </w:t>
      </w:r>
      <w:r>
        <w:rPr>
          <w:rFonts w:ascii="Arial" w:eastAsia="Arial" w:hAnsi="Arial" w:cs="Arial"/>
          <w:b/>
          <w:bCs/>
          <w:sz w:val="28"/>
          <w:szCs w:val="28"/>
        </w:rPr>
        <w:t>Acuerdo del Consejo de Ministros de 30 de septiembre de 2016</w:t>
      </w:r>
      <w:r>
        <w:rPr>
          <w:rFonts w:ascii="Arial" w:eastAsia="Arial" w:hAnsi="Arial" w:cs="Arial"/>
          <w:sz w:val="28"/>
          <w:szCs w:val="28"/>
        </w:rPr>
        <w:t>, exige que cada departamento ministerial habilite en su portal web, en lugar visible, un punto de acceso que garantice la visibilidad y el fácil acceso de la ciudadanía a estos procesos de participación.</w:t>
      </w:r>
    </w:p>
    <w:p w14:paraId="3D81BCC4" w14:textId="00186E6C" w:rsidR="00C47D2B" w:rsidRPr="00B64741" w:rsidRDefault="00DD26A2">
      <w:pPr>
        <w:spacing w:after="200"/>
        <w:jc w:val="both"/>
        <w:rPr>
          <w:b/>
          <w:bCs/>
          <w:i/>
          <w:iCs/>
        </w:rPr>
      </w:pPr>
      <w:r>
        <w:rPr>
          <w:rFonts w:ascii="Arial" w:eastAsia="Arial" w:hAnsi="Arial" w:cs="Arial"/>
          <w:sz w:val="28"/>
          <w:szCs w:val="28"/>
        </w:rPr>
        <w:t xml:space="preserve">Solicito que se confirme expresamente el cumplimiento de esta obligación de difusión activa -incluyendo, en su caso, la comunicación a través de canales oficiales adicionales al portal web (notas de prensa, redes institucionales, suscripción a listas de distribución)- y que, en caso de no poder acreditarse una difusión efectiva acorde con la finalidad participativa del 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artículo 133 de la Ley 39/2015 (Anexo 3), </w:t>
      </w:r>
      <w:r>
        <w:rPr>
          <w:rFonts w:ascii="Arial" w:eastAsia="Arial" w:hAnsi="Arial" w:cs="Arial"/>
          <w:sz w:val="28"/>
          <w:szCs w:val="28"/>
        </w:rPr>
        <w:t xml:space="preserve">se amplíe el plazo de la consulta pública o se habilite un nuevo periodo de aportaciones antes de proceder a la elaboración del texto articulado. </w:t>
      </w:r>
      <w:r>
        <w:rPr>
          <w:rFonts w:ascii="Arial" w:eastAsia="Arial" w:hAnsi="Arial" w:cs="Arial"/>
          <w:b/>
          <w:bCs/>
          <w:i/>
          <w:iCs/>
          <w:sz w:val="28"/>
          <w:szCs w:val="28"/>
        </w:rPr>
        <w:t>Una consulta pública que no llega a conocimiento razonable de los sectores afectados no cumple su función legal, por mucho que formalmente se haya tramitado.</w:t>
      </w:r>
    </w:p>
    <w:p w14:paraId="35338B90" w14:textId="77777777" w:rsidR="00C47D2B" w:rsidRDefault="00DD26A2" w:rsidP="00E67C80">
      <w:pPr>
        <w:spacing w:before="300" w:after="200"/>
        <w:jc w:val="both"/>
      </w:pPr>
      <w:r>
        <w:rPr>
          <w:rFonts w:ascii="Arial" w:eastAsia="Arial" w:hAnsi="Arial" w:cs="Arial"/>
          <w:b/>
          <w:bCs/>
          <w:color w:val="0D2F5E"/>
          <w:sz w:val="28"/>
          <w:szCs w:val="28"/>
        </w:rPr>
        <w:t>III. AUTONOMÍA PERSONAL, DERECHOS FUNDAMENTALES Y CONSENTIMIENTO INFORMADO</w:t>
      </w:r>
    </w:p>
    <w:p w14:paraId="35D6EA01" w14:textId="35D6EA01" w:rsidR="003F71A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 xml:space="preserve">El </w:t>
      </w:r>
      <w:r>
        <w:rPr>
          <w:rFonts w:ascii="Arial" w:eastAsia="Arial" w:hAnsi="Arial" w:cs="Arial"/>
          <w:b/>
          <w:bCs/>
          <w:sz w:val="28"/>
          <w:szCs w:val="28"/>
        </w:rPr>
        <w:t>artículo 15 de la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Constitución Española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(Anexo 4)</w:t>
      </w:r>
      <w:r>
        <w:rPr>
          <w:rFonts w:ascii="Arial" w:eastAsia="Arial" w:hAnsi="Arial" w:cs="Arial"/>
          <w:sz w:val="28"/>
          <w:szCs w:val="28"/>
        </w:rPr>
        <w:t xml:space="preserve"> reconoce el derecho a la integridad física. La propia jurisprudencia constitucional confirma que la administración de una vacuna afecta a este derecho fundamental: la </w:t>
      </w:r>
      <w:r>
        <w:rPr>
          <w:rFonts w:ascii="Arial" w:eastAsia="Arial" w:hAnsi="Arial" w:cs="Arial"/>
          <w:b/>
          <w:bCs/>
          <w:sz w:val="28"/>
          <w:szCs w:val="28"/>
        </w:rPr>
        <w:t>STC 38/2023, de 20 de abril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(Anexo 5)</w:t>
      </w:r>
      <w:r>
        <w:rPr>
          <w:rFonts w:ascii="Arial" w:eastAsia="Arial" w:hAnsi="Arial" w:cs="Arial"/>
          <w:sz w:val="28"/>
          <w:szCs w:val="28"/>
        </w:rPr>
        <w:t xml:space="preserve"> exige que cualquier vacunación no consentida cuente con habilitación jurídica suficiente y supere el juicio de proporcionalidad. Esta misma exigencia se extiende a los menores de edad: la </w:t>
      </w:r>
      <w:r>
        <w:rPr>
          <w:rFonts w:ascii="Arial" w:eastAsia="Arial" w:hAnsi="Arial" w:cs="Arial"/>
          <w:b/>
          <w:bCs/>
          <w:sz w:val="28"/>
          <w:szCs w:val="28"/>
        </w:rPr>
        <w:t>STC 148/2023, de 6 de noviembre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(Anexo 6)</w:t>
      </w:r>
      <w:r>
        <w:rPr>
          <w:rFonts w:ascii="Arial" w:eastAsia="Arial" w:hAnsi="Arial" w:cs="Arial"/>
          <w:sz w:val="28"/>
          <w:szCs w:val="28"/>
        </w:rPr>
        <w:t>, dictada por el Pleno, confirma que la administración de una vacuna sin el consentimiento libre, válido e informado de la persona afectada exige el cumplimiento de los requisitos generales que rigen la restricción de los derechos fundamentales sustantivos.</w:t>
      </w:r>
    </w:p>
    <w:p w14:paraId="35D6EA2E" w14:textId="011F8EB5" w:rsidR="003F71AB" w:rsidRDefault="00DD26A2">
      <w:pPr>
        <w:spacing w:after="20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El </w:t>
      </w:r>
      <w:r>
        <w:rPr>
          <w:rFonts w:ascii="Arial" w:eastAsia="Arial" w:hAnsi="Arial" w:cs="Arial"/>
          <w:b/>
          <w:bCs/>
          <w:sz w:val="28"/>
          <w:szCs w:val="28"/>
        </w:rPr>
        <w:t>artículo 43 de la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Constitución Española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(Anexo 4)</w:t>
      </w:r>
      <w:r>
        <w:rPr>
          <w:rFonts w:ascii="Arial" w:eastAsia="Arial" w:hAnsi="Arial" w:cs="Arial"/>
          <w:sz w:val="28"/>
          <w:szCs w:val="28"/>
        </w:rPr>
        <w:t xml:space="preserve"> reconoce el derecho a la protección de la salud, sin que ello suponga una habilitación ilimitada para imponer decisiones sanitarias individuales. </w:t>
      </w:r>
    </w:p>
    <w:p w14:paraId="157DDD6B" w14:textId="5551953B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>La protección de la salud pública debe conciliarse con la libertad de circulación, la integridad física y moral, la intimidad y la protección de los datos personales.</w:t>
      </w:r>
    </w:p>
    <w:p w14:paraId="185EA335" w14:textId="77777777" w:rsidR="00B64741" w:rsidRDefault="00DD26A2">
      <w:pPr>
        <w:spacing w:after="20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En consecuencia, exijo que el texto articulado recoja, de forma expresa, el </w:t>
      </w:r>
      <w:r>
        <w:rPr>
          <w:rFonts w:ascii="Arial" w:eastAsia="Arial" w:hAnsi="Arial" w:cs="Arial"/>
          <w:b/>
          <w:bCs/>
          <w:i/>
          <w:iCs/>
          <w:sz w:val="28"/>
          <w:szCs w:val="28"/>
        </w:rPr>
        <w:t>carácter voluntario de la vacunación internacional para el viajero y configure un procedimiento de consentimiento informado individualizado, previo, libre y revocable</w:t>
      </w:r>
      <w:r>
        <w:rPr>
          <w:rFonts w:ascii="Arial" w:eastAsia="Arial" w:hAnsi="Arial" w:cs="Arial"/>
          <w:sz w:val="28"/>
          <w:szCs w:val="28"/>
        </w:rPr>
        <w:t xml:space="preserve">, en aplicación de los </w:t>
      </w:r>
      <w:r>
        <w:rPr>
          <w:rFonts w:ascii="Arial" w:eastAsia="Arial" w:hAnsi="Arial" w:cs="Arial"/>
          <w:b/>
          <w:bCs/>
          <w:sz w:val="28"/>
          <w:szCs w:val="28"/>
        </w:rPr>
        <w:t>artículos 2, 4, 8 y 9 de la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Ley 41/2002, básica reguladora de la autonomía del paciente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(Anexo 7)</w:t>
      </w:r>
      <w:r>
        <w:rPr>
          <w:rFonts w:ascii="Arial" w:eastAsia="Arial" w:hAnsi="Arial" w:cs="Arial"/>
          <w:sz w:val="28"/>
          <w:szCs w:val="28"/>
        </w:rPr>
        <w:t xml:space="preserve">, y del </w:t>
      </w:r>
      <w:r>
        <w:rPr>
          <w:rFonts w:ascii="Arial" w:eastAsia="Arial" w:hAnsi="Arial" w:cs="Arial"/>
          <w:b/>
          <w:bCs/>
          <w:sz w:val="28"/>
          <w:szCs w:val="28"/>
        </w:rPr>
        <w:t>artículo 5 de la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Ley 33/2011, General de Salud Pública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(Anexo 8)</w:t>
      </w:r>
      <w:r>
        <w:rPr>
          <w:rFonts w:ascii="Arial" w:eastAsia="Arial" w:hAnsi="Arial" w:cs="Arial"/>
          <w:sz w:val="28"/>
          <w:szCs w:val="28"/>
        </w:rPr>
        <w:t xml:space="preserve">. </w:t>
      </w:r>
    </w:p>
    <w:p w14:paraId="18A41E00" w14:textId="5A1FFDF6" w:rsidR="00C47D2B" w:rsidRPr="00B64741" w:rsidRDefault="00DD26A2">
      <w:pPr>
        <w:spacing w:after="200"/>
        <w:jc w:val="both"/>
        <w:rPr>
          <w:b/>
          <w:bCs/>
          <w:i/>
          <w:iCs/>
        </w:rPr>
      </w:pPr>
      <w:r>
        <w:rPr>
          <w:rFonts w:ascii="Arial" w:eastAsia="Arial" w:hAnsi="Arial" w:cs="Arial"/>
          <w:b/>
          <w:bCs/>
          <w:i/>
          <w:iCs/>
          <w:sz w:val="28"/>
          <w:szCs w:val="28"/>
        </w:rPr>
        <w:t>Este consentimiento debe incluir información clara sobre riesgos, alternativas y consecuencias de la vacunación, y no vacunación, así como constancia documental en la historia clínica y régimen expreso de revocación, todo ello sin perjuicio de los supuestos excepcionales expresamente previstos por la legislación aplicable y sometidos a las garantías jurídicas correspondientes.</w:t>
      </w:r>
    </w:p>
    <w:p w14:paraId="18A41E01" w14:textId="18A41E01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 xml:space="preserve">Refuerza esta garantía el </w:t>
      </w:r>
      <w:r>
        <w:rPr>
          <w:rFonts w:ascii="Arial" w:eastAsia="Arial" w:hAnsi="Arial" w:cs="Arial"/>
          <w:b/>
          <w:bCs/>
          <w:sz w:val="28"/>
          <w:szCs w:val="28"/>
        </w:rPr>
        <w:t>Convenio para la protección de los derechos humanos y la dignidad del ser humano con respecto a las aplicaciones de la Biología y la Medicina (Convenio de Oviedo)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(Anexo 9)</w:t>
      </w:r>
      <w:r>
        <w:rPr>
          <w:rFonts w:ascii="Arial" w:eastAsia="Arial" w:hAnsi="Arial" w:cs="Arial"/>
          <w:sz w:val="28"/>
          <w:szCs w:val="28"/>
        </w:rPr>
        <w:t>, ratificado por España, cuyo artículo 5 exige el consentimiento libre e informado de la persona para cualquier intervención en el ámbito de la salud, incluidas las de carácter preventivo.</w:t>
      </w:r>
    </w:p>
    <w:p w14:paraId="6B1FAE74" w14:textId="77777777" w:rsidR="00C47D2B" w:rsidRDefault="00DD26A2">
      <w:pPr>
        <w:spacing w:before="300" w:after="200"/>
      </w:pPr>
      <w:r>
        <w:rPr>
          <w:rFonts w:ascii="Arial" w:eastAsia="Arial" w:hAnsi="Arial" w:cs="Arial"/>
          <w:b/>
          <w:bCs/>
          <w:color w:val="0D2F5E"/>
          <w:sz w:val="28"/>
          <w:szCs w:val="28"/>
        </w:rPr>
        <w:t>IV. LIBERTAD DE CIRCULACIÓN</w:t>
      </w:r>
    </w:p>
    <w:p w14:paraId="6227BF40" w14:textId="33ED4DB3" w:rsidR="003F71AB" w:rsidRDefault="00DD26A2">
      <w:pPr>
        <w:spacing w:after="20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El </w:t>
      </w:r>
      <w:r>
        <w:rPr>
          <w:rFonts w:ascii="Arial" w:eastAsia="Arial" w:hAnsi="Arial" w:cs="Arial"/>
          <w:b/>
          <w:bCs/>
          <w:sz w:val="28"/>
          <w:szCs w:val="28"/>
        </w:rPr>
        <w:t>artículo 19 de la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Constitución Española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(Anexo 4)</w:t>
      </w:r>
      <w:r>
        <w:rPr>
          <w:rFonts w:ascii="Arial" w:eastAsia="Arial" w:hAnsi="Arial" w:cs="Arial"/>
          <w:sz w:val="28"/>
          <w:szCs w:val="28"/>
        </w:rPr>
        <w:t xml:space="preserve"> reconoce el derecho a circular libremente y a entrar y salir de España. </w:t>
      </w:r>
    </w:p>
    <w:p w14:paraId="12227572" w14:textId="77777777" w:rsidR="00E67C80" w:rsidRDefault="00E67C80">
      <w:pPr>
        <w:spacing w:after="200"/>
        <w:jc w:val="both"/>
        <w:rPr>
          <w:rFonts w:ascii="Arial" w:eastAsia="Arial" w:hAnsi="Arial" w:cs="Arial"/>
          <w:sz w:val="28"/>
          <w:szCs w:val="28"/>
        </w:rPr>
      </w:pPr>
    </w:p>
    <w:p w14:paraId="59841CF9" w14:textId="77777777" w:rsidR="00E67C80" w:rsidRDefault="00E67C80">
      <w:pPr>
        <w:spacing w:after="200"/>
        <w:jc w:val="both"/>
        <w:rPr>
          <w:rFonts w:ascii="Arial" w:eastAsia="Arial" w:hAnsi="Arial" w:cs="Arial"/>
          <w:sz w:val="28"/>
          <w:szCs w:val="28"/>
        </w:rPr>
      </w:pPr>
    </w:p>
    <w:p w14:paraId="39748AC8" w14:textId="4F004C83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 xml:space="preserve">Exijo que el futuro </w:t>
      </w:r>
      <w:r>
        <w:rPr>
          <w:rFonts w:ascii="Arial" w:eastAsia="Arial" w:hAnsi="Arial" w:cs="Arial"/>
          <w:b/>
          <w:bCs/>
          <w:sz w:val="28"/>
          <w:szCs w:val="28"/>
        </w:rPr>
        <w:t>Real Decreto</w:t>
      </w:r>
      <w:r>
        <w:rPr>
          <w:rFonts w:ascii="Arial" w:eastAsia="Arial" w:hAnsi="Arial" w:cs="Arial"/>
          <w:sz w:val="28"/>
          <w:szCs w:val="28"/>
        </w:rPr>
        <w:t xml:space="preserve"> deje expresamente establecido que no podrá utilizarse como fundamento, ni directo ni indirecto, para imponer restricciones generales a estos derechos por razón del estado vacunal de una persona.</w:t>
      </w:r>
    </w:p>
    <w:p w14:paraId="46FCF133" w14:textId="77777777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>La existencia de riesgos sanitarios concretos en un destino no permite convertir automáticamente la vacunación en una condición general de movilidad dentro o fuera de España.</w:t>
      </w:r>
    </w:p>
    <w:p w14:paraId="70BE037F" w14:textId="77777777" w:rsidR="00C47D2B" w:rsidRDefault="00DD26A2">
      <w:pPr>
        <w:spacing w:before="300" w:after="200"/>
      </w:pPr>
      <w:r>
        <w:rPr>
          <w:rFonts w:ascii="Arial" w:eastAsia="Arial" w:hAnsi="Arial" w:cs="Arial"/>
          <w:b/>
          <w:bCs/>
          <w:color w:val="0D2F5E"/>
          <w:sz w:val="28"/>
          <w:szCs w:val="28"/>
        </w:rPr>
        <w:t>V. CIERRE DE LA VÍA DE LA DESLEGALIZACIÓN ENCUBIERTA</w:t>
      </w:r>
    </w:p>
    <w:p w14:paraId="44991466" w14:textId="3600B0CE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>He identificado el riesgo más relevante de este proyecto normativo: que aspectos esenciales -en particular la definición y actualización de la cartera de servicios de vacunación internacional, y la calificación de qué situaciones constituyen «riesgo específico»- queden remitidos a Órdenes Ministeriales, protocolos o resoluciones posteriores, eludiendo así el trámite de participación pública que corresponde a una norma con rango de Real Decreto.</w:t>
      </w:r>
    </w:p>
    <w:p w14:paraId="3FB0713C" w14:textId="48CB4CBF" w:rsidR="00C47D2B" w:rsidRPr="003F71AB" w:rsidRDefault="00DD26A2">
      <w:pPr>
        <w:spacing w:after="200"/>
        <w:jc w:val="both"/>
        <w:rPr>
          <w:i/>
          <w:iCs/>
        </w:rPr>
      </w:pPr>
      <w:r>
        <w:rPr>
          <w:rFonts w:ascii="Arial" w:eastAsia="Arial" w:hAnsi="Arial" w:cs="Arial"/>
          <w:sz w:val="28"/>
          <w:szCs w:val="28"/>
        </w:rPr>
        <w:t xml:space="preserve">Se exige, en aplicación del principio de buena regulación del </w:t>
      </w:r>
      <w:r>
        <w:rPr>
          <w:rFonts w:ascii="Arial" w:eastAsia="Arial" w:hAnsi="Arial" w:cs="Arial"/>
          <w:b/>
          <w:bCs/>
          <w:sz w:val="28"/>
          <w:szCs w:val="28"/>
        </w:rPr>
        <w:t>artículo 129 de la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Ley 39/2015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(Anexo 3)</w:t>
      </w:r>
      <w:r>
        <w:rPr>
          <w:rFonts w:ascii="Arial" w:eastAsia="Arial" w:hAnsi="Arial" w:cs="Arial"/>
          <w:sz w:val="28"/>
          <w:szCs w:val="28"/>
        </w:rPr>
        <w:t xml:space="preserve"> y del </w:t>
      </w:r>
      <w:r>
        <w:rPr>
          <w:rFonts w:ascii="Arial" w:eastAsia="Arial" w:hAnsi="Arial" w:cs="Arial"/>
          <w:b/>
          <w:bCs/>
          <w:sz w:val="28"/>
          <w:szCs w:val="28"/>
        </w:rPr>
        <w:t>artículo 26 de la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Ley 50/1997, del Gobierno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(Anexo 10)</w:t>
      </w:r>
      <w:r>
        <w:rPr>
          <w:rFonts w:ascii="Arial" w:eastAsia="Arial" w:hAnsi="Arial" w:cs="Arial"/>
          <w:sz w:val="28"/>
          <w:szCs w:val="28"/>
        </w:rPr>
        <w:t>, que</w:t>
      </w:r>
      <w:r>
        <w:rPr>
          <w:rFonts w:ascii="Arial" w:eastAsia="Arial" w:hAnsi="Arial" w:cs="Arial"/>
          <w:i/>
          <w:iCs/>
          <w:sz w:val="28"/>
          <w:szCs w:val="28"/>
        </w:rPr>
        <w:t xml:space="preserve">: (i) la cartera de servicios y los supuestos que activan cualquier exigencia se fijen íntegramente en el propio </w:t>
      </w:r>
      <w:r>
        <w:rPr>
          <w:rFonts w:ascii="Arial" w:eastAsia="Arial" w:hAnsi="Arial" w:cs="Arial"/>
          <w:b/>
          <w:bCs/>
          <w:i/>
          <w:iCs/>
          <w:sz w:val="28"/>
          <w:szCs w:val="28"/>
        </w:rPr>
        <w:t>Real Decreto</w:t>
      </w:r>
      <w:r>
        <w:rPr>
          <w:rFonts w:ascii="Arial" w:eastAsia="Arial" w:hAnsi="Arial" w:cs="Arial"/>
          <w:i/>
          <w:iCs/>
          <w:sz w:val="28"/>
          <w:szCs w:val="28"/>
        </w:rPr>
        <w:t xml:space="preserve"> y no por remisión a instrumentos de rango inferior; y (ii) cualquier ampliación futura de la cartera o de los supuestos de exigencia se someta al mismo trámite de consulta pública y audiencia e información pública que la norma original, sin excepciones.</w:t>
      </w:r>
    </w:p>
    <w:p w14:paraId="7AE55201" w14:textId="7AE55201" w:rsidR="009079DA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 xml:space="preserve">Este riesgo se ve reforzado por la reserva de ley del </w:t>
      </w:r>
      <w:r>
        <w:rPr>
          <w:rFonts w:ascii="Arial" w:eastAsia="Arial" w:hAnsi="Arial" w:cs="Arial"/>
          <w:b/>
          <w:bCs/>
          <w:sz w:val="28"/>
          <w:szCs w:val="28"/>
        </w:rPr>
        <w:t>artículo 53.1 de la Constitución Española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(Anexo 4)</w:t>
      </w:r>
      <w:r>
        <w:rPr>
          <w:rFonts w:ascii="Arial" w:eastAsia="Arial" w:hAnsi="Arial" w:cs="Arial"/>
          <w:sz w:val="28"/>
          <w:szCs w:val="28"/>
        </w:rPr>
        <w:t xml:space="preserve">, que exige que el desarrollo de los derechos fundamentales se realice por ley, no por vía reglamentaria. El Tribunal Constitucional, en su </w:t>
      </w:r>
      <w:r>
        <w:rPr>
          <w:rFonts w:ascii="Arial" w:eastAsia="Arial" w:hAnsi="Arial" w:cs="Arial"/>
          <w:b/>
          <w:bCs/>
          <w:sz w:val="28"/>
          <w:szCs w:val="28"/>
        </w:rPr>
        <w:t>STC 136/2024, de 5 de noviembre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(Anexo 11)</w:t>
      </w:r>
      <w:r>
        <w:rPr>
          <w:rFonts w:ascii="Arial" w:eastAsia="Arial" w:hAnsi="Arial" w:cs="Arial"/>
          <w:sz w:val="28"/>
          <w:szCs w:val="28"/>
        </w:rPr>
        <w:t>, ha declarado la nulidad de preceptos autonómicos que habilitaban de forma abierta e indeterminada la adopción de medidas sanitarias con incidencia en derechos fundamentales, precisamente por vulnerar esa reserva de ley.</w:t>
      </w:r>
    </w:p>
    <w:p w14:paraId="7AE55286" w14:textId="78802FE7" w:rsidR="009079DA" w:rsidRPr="00B64741" w:rsidRDefault="00DD26A2" w:rsidP="00B64741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 xml:space="preserve">No debe crearse ninguna obligación general de vacunación para viajar, ni permitir que una obligación de esa naturaleza aparezca mediante instrucciones administrativas, protocolos o decisiones de órganos inferiores, en ningún momento posterior a la aprobación del </w:t>
      </w:r>
      <w:r>
        <w:rPr>
          <w:rFonts w:ascii="Arial" w:eastAsia="Arial" w:hAnsi="Arial" w:cs="Arial"/>
          <w:b/>
          <w:bCs/>
          <w:sz w:val="28"/>
          <w:szCs w:val="28"/>
        </w:rPr>
        <w:t>Real Decreto</w:t>
      </w:r>
      <w:r>
        <w:rPr>
          <w:rFonts w:ascii="Arial" w:eastAsia="Arial" w:hAnsi="Arial" w:cs="Arial"/>
          <w:sz w:val="28"/>
          <w:szCs w:val="28"/>
        </w:rPr>
        <w:t>.</w:t>
      </w:r>
    </w:p>
    <w:p w14:paraId="431C7C96" w14:textId="0A3DAB67" w:rsidR="00C47D2B" w:rsidRDefault="00DD26A2" w:rsidP="00E67C80">
      <w:pPr>
        <w:spacing w:before="300" w:after="200"/>
        <w:jc w:val="both"/>
      </w:pPr>
      <w:r>
        <w:rPr>
          <w:rFonts w:ascii="Arial" w:eastAsia="Arial" w:hAnsi="Arial" w:cs="Arial"/>
          <w:b/>
          <w:bCs/>
          <w:color w:val="0D2F5E"/>
          <w:sz w:val="28"/>
          <w:szCs w:val="28"/>
        </w:rPr>
        <w:t>VI. CERTIFICADOS: RECHAZO A CUALQUIER CERTIFICADO SANITARIO COMO CONDICIÓN DE VIAJE</w:t>
      </w:r>
    </w:p>
    <w:p w14:paraId="187A1A76" w14:textId="77777777" w:rsidR="00DD7F73" w:rsidRDefault="00DD26A2">
      <w:pPr>
        <w:spacing w:after="20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No acepto como algo normal, ni exento de revisión, la existencia de certificados sanitarios como condición para viajar. </w:t>
      </w:r>
    </w:p>
    <w:p w14:paraId="36E46221" w14:textId="3EA9F072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>Si el derecho internacional vigente impone alguno con carácter excepcional, debe interpretarse de la forma más restrictiva posible: limitado estrictamente al supuesto concreto que lo justifica, sin que en ningún caso pueda convertirse en una autorización general para circular, viajar, trabajar, acceder a servicios o ejercer derechos.</w:t>
      </w:r>
    </w:p>
    <w:p w14:paraId="72956B72" w14:textId="0B6EA57D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 xml:space="preserve">Recuerdo que, conforme al </w:t>
      </w:r>
      <w:r>
        <w:rPr>
          <w:rFonts w:ascii="Arial" w:eastAsia="Arial" w:hAnsi="Arial" w:cs="Arial"/>
          <w:b/>
          <w:bCs/>
          <w:sz w:val="28"/>
          <w:szCs w:val="28"/>
        </w:rPr>
        <w:t>Reglamento Sanitario Internacional (2005) (Anexo 12),</w:t>
      </w:r>
      <w:r>
        <w:rPr>
          <w:rFonts w:ascii="Arial" w:eastAsia="Arial" w:hAnsi="Arial" w:cs="Arial"/>
          <w:sz w:val="28"/>
          <w:szCs w:val="28"/>
        </w:rPr>
        <w:t xml:space="preserve"> la fiebre amarilla es actualmente la única enfermedad expresamente designada en su anexo 7 respecto de la cual puede exigirse prueba de vacunación como condición de entrada en determinadas circunstancias, justificada por el reservorio animal del virus -que impide su erradicación- y por la presencia de mosquitos vectores competentes en regiones donde la enfermedad no es endémica. Ello no impide que determinados Estados establezcan requisitos adicionales conforme a su legislación nacional, cuestión que debe quedar claramente diferenciada de las obligaciones derivadas del RSI.</w:t>
      </w:r>
    </w:p>
    <w:p w14:paraId="6947DDFC" w14:textId="77777777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>Solicito, no obstante, que la justificación científica y epidemiológica de esta u otra exigencia de certificación se revise y se haga pública de forma periódica por las autoridades competentes, de manera que su mantenimiento responda siempre a evidencia actualizada y verificable, y nunca a la mera inercia normativa.</w:t>
      </w:r>
    </w:p>
    <w:p w14:paraId="051C0A35" w14:textId="77777777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 xml:space="preserve">Voy más allá de ese límite mínimo previsto por el derecho internacional vigente: considero que ninguna persona debería ver condicionado su derecho a viajar a la presentación de certificado sanitario alguno, y solicito que el futuro </w:t>
      </w:r>
      <w:r>
        <w:rPr>
          <w:rFonts w:ascii="Arial" w:eastAsia="Arial" w:hAnsi="Arial" w:cs="Arial"/>
          <w:b/>
          <w:bCs/>
          <w:sz w:val="28"/>
          <w:szCs w:val="28"/>
        </w:rPr>
        <w:t>Real Decreto</w:t>
      </w:r>
      <w:r>
        <w:rPr>
          <w:rFonts w:ascii="Arial" w:eastAsia="Arial" w:hAnsi="Arial" w:cs="Arial"/>
          <w:sz w:val="28"/>
          <w:szCs w:val="28"/>
        </w:rPr>
        <w:t xml:space="preserve"> se limite exclusivamente a informar al viajero de los requisitos que, en su caso, pueda exigir el país de destino, sin que España introduzca, mantenga o gestione activamente ninguna exigencia de certificación propia como condición de salida o entrada en territorio nacional.</w:t>
      </w:r>
    </w:p>
    <w:p w14:paraId="1FC037D2" w14:textId="77777777" w:rsidR="00C47D2B" w:rsidRDefault="00DD26A2" w:rsidP="00E67C80">
      <w:pPr>
        <w:spacing w:before="300" w:after="200"/>
        <w:jc w:val="both"/>
      </w:pPr>
      <w:r>
        <w:rPr>
          <w:rFonts w:ascii="Arial" w:eastAsia="Arial" w:hAnsi="Arial" w:cs="Arial"/>
          <w:b/>
          <w:bCs/>
          <w:color w:val="0D2F5E"/>
          <w:sz w:val="28"/>
          <w:szCs w:val="28"/>
        </w:rPr>
        <w:t>VII. EMERGENCIAS Y ALERTAS SANITARIAS: CIERRE EXPRESO DE LA VÍA EXCEPCIONAL</w:t>
      </w:r>
    </w:p>
    <w:p w14:paraId="7F67F20F" w14:textId="7F0A6E56" w:rsidR="00DD7F73" w:rsidRDefault="00DD26A2">
      <w:pPr>
        <w:spacing w:after="20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Rechazo cualquier fórmula abierta que permita que una declaración de alerta o emergencia se convierta automáticamente en una habilitación general para restringir derechos o imponer decisiones sanitarias individuales. En particular, se exige que el futuro Real Decreto no pueda ser interpretado como habilitación autónoma, ni directa ni derivada de las facultades genéricas de la </w:t>
      </w:r>
      <w:r>
        <w:rPr>
          <w:rFonts w:ascii="Arial" w:eastAsia="Arial" w:hAnsi="Arial" w:cs="Arial"/>
          <w:b/>
          <w:bCs/>
          <w:sz w:val="28"/>
          <w:szCs w:val="28"/>
        </w:rPr>
        <w:t>Ley Orgánica 3/1986, de Medidas Especiales en Materia de Salud Pública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(Anexo 13)</w:t>
      </w:r>
      <w:r>
        <w:rPr>
          <w:rFonts w:ascii="Arial" w:eastAsia="Arial" w:hAnsi="Arial" w:cs="Arial"/>
          <w:sz w:val="28"/>
          <w:szCs w:val="28"/>
        </w:rPr>
        <w:t xml:space="preserve">, o de la </w:t>
      </w:r>
      <w:r>
        <w:rPr>
          <w:rFonts w:ascii="Arial" w:eastAsia="Arial" w:hAnsi="Arial" w:cs="Arial"/>
          <w:b/>
          <w:bCs/>
          <w:sz w:val="28"/>
          <w:szCs w:val="28"/>
        </w:rPr>
        <w:t>Ley 33/2011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(Anexo 8)</w:t>
      </w:r>
      <w:r>
        <w:rPr>
          <w:rFonts w:ascii="Arial" w:eastAsia="Arial" w:hAnsi="Arial" w:cs="Arial"/>
          <w:sz w:val="28"/>
          <w:szCs w:val="28"/>
        </w:rPr>
        <w:t xml:space="preserve">, para imponer vacunaciones no consentidas, y que cualquier medida excepcional que pueda afectar a la integridad física o a la autonomía personal requiera la cobertura legal correspondiente, una justificación concreta, respeto al principio de proporcionalidad y, cuando legalmente proceda, el correspondiente control judicial. </w:t>
      </w:r>
    </w:p>
    <w:p w14:paraId="2C2A3F58" w14:textId="700809AC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>Las medidas excepcionales deberán estar sometidas a criterios objetivos y verificables, duración limitada, motivación expresa y control judicial o parlamentario.</w:t>
      </w:r>
    </w:p>
    <w:p w14:paraId="6BCCD474" w14:textId="77777777" w:rsidR="00C47D2B" w:rsidRDefault="00DD26A2" w:rsidP="00E67C80">
      <w:pPr>
        <w:spacing w:before="300" w:after="200"/>
        <w:jc w:val="both"/>
      </w:pPr>
      <w:r>
        <w:rPr>
          <w:rFonts w:ascii="Arial" w:eastAsia="Arial" w:hAnsi="Arial" w:cs="Arial"/>
          <w:b/>
          <w:bCs/>
          <w:color w:val="0D2F5E"/>
          <w:sz w:val="28"/>
          <w:szCs w:val="28"/>
        </w:rPr>
        <w:t>VIII. DATOS SANITARIOS, DIGITALIZACIÓN Y ESPACIO EUROPEO DE DATOS DE SALUD</w:t>
      </w:r>
    </w:p>
    <w:p w14:paraId="05681367" w14:textId="467DC4FE" w:rsidR="00DD7F73" w:rsidRDefault="00DD26A2">
      <w:pPr>
        <w:spacing w:after="20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El </w:t>
      </w:r>
      <w:r>
        <w:rPr>
          <w:rFonts w:ascii="Arial" w:eastAsia="Arial" w:hAnsi="Arial" w:cs="Arial"/>
          <w:b/>
          <w:bCs/>
          <w:sz w:val="28"/>
          <w:szCs w:val="28"/>
        </w:rPr>
        <w:t>artículo 18.4 de la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Constitución Española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(Anexo 4)</w:t>
      </w:r>
      <w:r>
        <w:rPr>
          <w:rFonts w:ascii="Arial" w:eastAsia="Arial" w:hAnsi="Arial" w:cs="Arial"/>
          <w:sz w:val="28"/>
          <w:szCs w:val="28"/>
        </w:rPr>
        <w:t xml:space="preserve"> limita el uso de la informática para garantizar el honor y la intimidad personal. </w:t>
      </w:r>
    </w:p>
    <w:p w14:paraId="2543C427" w14:textId="77777777" w:rsidR="00E67C80" w:rsidRDefault="00E67C80">
      <w:pPr>
        <w:spacing w:after="200"/>
        <w:jc w:val="both"/>
        <w:rPr>
          <w:rFonts w:ascii="Arial" w:eastAsia="Arial" w:hAnsi="Arial" w:cs="Arial"/>
          <w:sz w:val="28"/>
          <w:szCs w:val="28"/>
        </w:rPr>
      </w:pPr>
    </w:p>
    <w:p w14:paraId="2BFF5CE7" w14:textId="3C585F10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 xml:space="preserve">Exijo que el Real Decreto incorpore, en el propio texto articulado y no por remisión indeterminada, la base jurídica del tratamiento conforme a los </w:t>
      </w:r>
      <w:r>
        <w:rPr>
          <w:rFonts w:ascii="Arial" w:eastAsia="Arial" w:hAnsi="Arial" w:cs="Arial"/>
          <w:b/>
          <w:bCs/>
          <w:sz w:val="28"/>
          <w:szCs w:val="28"/>
        </w:rPr>
        <w:t>artículos 6.1 c) y e) y 9.2 h) e i) del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Reglamento (UE) 2016/679 (RGPD)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(Anexo 14)</w:t>
      </w:r>
      <w:r>
        <w:rPr>
          <w:rFonts w:ascii="Arial" w:eastAsia="Arial" w:hAnsi="Arial" w:cs="Arial"/>
          <w:sz w:val="28"/>
          <w:szCs w:val="28"/>
        </w:rPr>
        <w:t xml:space="preserve">, la finalidad concreta por categorías de datos, los plazos de conservación y la identificación de responsables y cesionarios, con las garantías adicionales de la disposición adicional decimoséptima de la </w:t>
      </w:r>
      <w:r>
        <w:rPr>
          <w:rFonts w:ascii="Arial" w:eastAsia="Arial" w:hAnsi="Arial" w:cs="Arial"/>
          <w:b/>
          <w:bCs/>
          <w:sz w:val="28"/>
          <w:szCs w:val="28"/>
        </w:rPr>
        <w:t>Ley Orgánica 3/2018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(Anexo 15)</w:t>
      </w:r>
      <w:r>
        <w:rPr>
          <w:rFonts w:ascii="Arial" w:eastAsia="Arial" w:hAnsi="Arial" w:cs="Arial"/>
          <w:sz w:val="28"/>
          <w:szCs w:val="28"/>
        </w:rPr>
        <w:t>.</w:t>
      </w:r>
    </w:p>
    <w:p w14:paraId="65ACAB48" w14:textId="77777777" w:rsidR="00DD7F73" w:rsidRDefault="00DD26A2">
      <w:pPr>
        <w:spacing w:after="20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Debe indicarse con claridad si los datos se integrarán en la Historia Clínica Digital del Sistema Nacional de Salud y su relación con el </w:t>
      </w:r>
      <w:r>
        <w:rPr>
          <w:rFonts w:ascii="Arial" w:eastAsia="Arial" w:hAnsi="Arial" w:cs="Arial"/>
          <w:b/>
          <w:bCs/>
          <w:sz w:val="28"/>
          <w:szCs w:val="28"/>
        </w:rPr>
        <w:t>Reglamento (UE) 2025/327, del Espacio Europeo de Datos de Salud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(Anexo 16)</w:t>
      </w:r>
      <w:r>
        <w:rPr>
          <w:rFonts w:ascii="Arial" w:eastAsia="Arial" w:hAnsi="Arial" w:cs="Arial"/>
          <w:sz w:val="28"/>
          <w:szCs w:val="28"/>
        </w:rPr>
        <w:t xml:space="preserve">. </w:t>
      </w:r>
    </w:p>
    <w:p w14:paraId="7E9BE002" w14:textId="04BD1A75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>Advierto expresamente del riesgo de que un sistema de registro pensado para un fin concreto y limitado (la certificación de fiebre amarilla) se convierta, por diseño técnico o por interoperabilidad no acotada, en un mecanismo general de control de la movilidad o del acceso a servicios ajenos a su finalidad original.</w:t>
      </w:r>
    </w:p>
    <w:p w14:paraId="3CEDA19D" w14:textId="77777777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 xml:space="preserve">Rechazo cualquier forma de control sanitario individualizado de la ciudadanía, entendiendo por tal el seguimiento, condicionamiento o restricción de derechos de una persona concreta en función de su estado o historial de vacunación. Esto no es incompatible con la vigilancia epidemiológica agregada y anonimizada, propia de la salud pública, siempre que no permita identificar ni condicionar a personas concretas; pero cualquier sistema que sí lo permita, cualquiera que sea su denominación técnica, debe quedar excluido del </w:t>
      </w:r>
      <w:r>
        <w:rPr>
          <w:rFonts w:ascii="Arial" w:eastAsia="Arial" w:hAnsi="Arial" w:cs="Arial"/>
          <w:b/>
          <w:bCs/>
          <w:sz w:val="28"/>
          <w:szCs w:val="28"/>
        </w:rPr>
        <w:t>Real Decreto.</w:t>
      </w:r>
    </w:p>
    <w:p w14:paraId="72900C54" w14:textId="77777777" w:rsidR="00DD7F73" w:rsidRDefault="00DD26A2">
      <w:pPr>
        <w:spacing w:after="20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Exijo que el </w:t>
      </w:r>
      <w:r>
        <w:rPr>
          <w:rFonts w:ascii="Arial" w:eastAsia="Arial" w:hAnsi="Arial" w:cs="Arial"/>
          <w:b/>
          <w:bCs/>
          <w:sz w:val="28"/>
          <w:szCs w:val="28"/>
        </w:rPr>
        <w:t>Real Decreto</w:t>
      </w:r>
      <w:r>
        <w:rPr>
          <w:rFonts w:ascii="Arial" w:eastAsia="Arial" w:hAnsi="Arial" w:cs="Arial"/>
          <w:sz w:val="28"/>
          <w:szCs w:val="28"/>
        </w:rPr>
        <w:t xml:space="preserve"> establezca, como regla general, que el acceso a los datos de vacunación internacional del viajero se limite a las personas y entidades que él mismo autorice expresamente. </w:t>
      </w:r>
    </w:p>
    <w:p w14:paraId="035DEBAA" w14:textId="6F49BF6B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 xml:space="preserve">Ninguna Administración ostenta un derecho general sobre esos datos: solo dispone de las facultades tasadas y excepcionales que la </w:t>
      </w:r>
      <w:r>
        <w:rPr>
          <w:rFonts w:ascii="Arial" w:eastAsia="Arial" w:hAnsi="Arial" w:cs="Arial"/>
          <w:b/>
          <w:bCs/>
          <w:sz w:val="28"/>
          <w:szCs w:val="28"/>
        </w:rPr>
        <w:t>Ley 41/2002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(Anexo 7)</w:t>
      </w:r>
      <w:r>
        <w:rPr>
          <w:rFonts w:ascii="Arial" w:eastAsia="Arial" w:hAnsi="Arial" w:cs="Arial"/>
          <w:sz w:val="28"/>
          <w:szCs w:val="28"/>
        </w:rPr>
        <w:t xml:space="preserve"> y el </w:t>
      </w:r>
      <w:r>
        <w:rPr>
          <w:rFonts w:ascii="Arial" w:eastAsia="Arial" w:hAnsi="Arial" w:cs="Arial"/>
          <w:b/>
          <w:bCs/>
          <w:sz w:val="28"/>
          <w:szCs w:val="28"/>
        </w:rPr>
        <w:t>artículo 9.2 del RGPD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(Anexo 14)</w:t>
      </w:r>
      <w:r>
        <w:rPr>
          <w:rFonts w:ascii="Arial" w:eastAsia="Arial" w:hAnsi="Arial" w:cs="Arial"/>
          <w:sz w:val="28"/>
          <w:szCs w:val="28"/>
        </w:rPr>
        <w:t xml:space="preserve"> permiten con carácter restrictivo -fundamentalmente la vigilancia epidemiológica agregada ya referida-, sin que en ningún caso pueda construirse un acceso gubernamental de carácter general, permanente o discrecional a la información sanitaria de las personas.</w:t>
      </w:r>
    </w:p>
    <w:p w14:paraId="1A2B3C01" w14:textId="1A2B3C01" w:rsidR="00C47D2B" w:rsidRDefault="00DD26A2" w:rsidP="00E67C80">
      <w:pPr>
        <w:spacing w:before="300" w:after="200"/>
        <w:jc w:val="both"/>
      </w:pPr>
      <w:r>
        <w:rPr>
          <w:rFonts w:ascii="Arial" w:eastAsia="Arial" w:hAnsi="Arial" w:cs="Arial"/>
          <w:b/>
          <w:bCs/>
          <w:color w:val="0D2F5E"/>
          <w:sz w:val="28"/>
          <w:szCs w:val="28"/>
        </w:rPr>
        <w:t>IX. PROHIBICIÓN DE UTILIZACIÓN DE LA DIGITALIZACIÓN COMO MECANISMO DE CONTROL DE LA MOVILIDAD</w:t>
      </w:r>
    </w:p>
    <w:p w14:paraId="1A2B3C02" w14:textId="1A2B3C02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>La digitalización de la información relativa a la vacunación internacional y su interoperabilidad con los sistemas de información del Sistema Nacional de Salud no podrá utilizarse para crear un mecanismo general de identificación, seguimiento o control de la movilidad de las personas en función de su estado vacunal.</w:t>
      </w:r>
    </w:p>
    <w:p w14:paraId="1A2B3C03" w14:textId="1A2B3C03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>La interoperabilidad deberá estar estrictamente limitada a las finalidades legalmente previstas, con garantías de minimización de datos, limitación de finalidad, acceso restringido y trazabilidad de las consultas.</w:t>
      </w:r>
    </w:p>
    <w:p w14:paraId="39D6F2CF" w14:textId="77777777" w:rsidR="00E67C80" w:rsidRDefault="00E67C80">
      <w:pPr>
        <w:spacing w:after="200"/>
        <w:jc w:val="both"/>
        <w:rPr>
          <w:rFonts w:ascii="Arial" w:eastAsia="Arial" w:hAnsi="Arial" w:cs="Arial"/>
          <w:sz w:val="28"/>
          <w:szCs w:val="28"/>
        </w:rPr>
      </w:pPr>
    </w:p>
    <w:p w14:paraId="1A2B3C04" w14:textId="33C8CFC1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>En particular, deberá quedar expresamente excluida la utilización de registros, certificados digitales, aplicaciones, códigos de verificación o sistemas interoperables como condición general para embarcar, viajar, entrar o salir de España, acceder a servicios o ejercer derechos.</w:t>
      </w:r>
    </w:p>
    <w:p w14:paraId="1A2B3C05" w14:textId="1A2B3C05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>La digitalización de un dato sanitario no puede convertirlo en una herramienta de control de la ciudadanía.</w:t>
      </w:r>
    </w:p>
    <w:p w14:paraId="45269440" w14:textId="6CF0DD69" w:rsidR="00C47D2B" w:rsidRDefault="00DD26A2">
      <w:pPr>
        <w:spacing w:before="300" w:after="200"/>
      </w:pPr>
      <w:r>
        <w:rPr>
          <w:rFonts w:ascii="Arial" w:eastAsia="Arial" w:hAnsi="Arial" w:cs="Arial"/>
          <w:b/>
          <w:bCs/>
          <w:color w:val="0D2F5E"/>
          <w:sz w:val="28"/>
          <w:szCs w:val="28"/>
        </w:rPr>
        <w:t>X. FARMACOVIGILANCIA OBLIGATORIA Y TRANSPARENCIA TÉCNICA</w:t>
      </w:r>
    </w:p>
    <w:p w14:paraId="5CF8779B" w14:textId="2026D205" w:rsidR="00DD7F73" w:rsidRDefault="00DD26A2">
      <w:pPr>
        <w:spacing w:after="20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Solicito que el </w:t>
      </w:r>
      <w:r>
        <w:rPr>
          <w:rFonts w:ascii="Arial" w:eastAsia="Arial" w:hAnsi="Arial" w:cs="Arial"/>
          <w:b/>
          <w:bCs/>
          <w:sz w:val="28"/>
          <w:szCs w:val="28"/>
        </w:rPr>
        <w:t>Real Decreto</w:t>
      </w:r>
      <w:r>
        <w:rPr>
          <w:rFonts w:ascii="Arial" w:eastAsia="Arial" w:hAnsi="Arial" w:cs="Arial"/>
          <w:sz w:val="28"/>
          <w:szCs w:val="28"/>
        </w:rPr>
        <w:t xml:space="preserve"> establezca un procedimiento obligatorio y homogéneo de registro y notificación de acontecimientos adversos posvacunales en los centros autorizados, integrado con el Sistema Español de Farmacovigilancia conforme al </w:t>
      </w:r>
      <w:bookmarkStart w:id="0" w:name="_Hlk239522148"/>
      <w:r>
        <w:rPr>
          <w:rFonts w:ascii="Arial" w:eastAsia="Arial" w:hAnsi="Arial" w:cs="Arial"/>
          <w:b/>
          <w:bCs/>
          <w:sz w:val="28"/>
          <w:szCs w:val="28"/>
        </w:rPr>
        <w:t>artículo 53 del texto refundido aprobado por Real Decreto Legislativo 1/2015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(Anexo 17)</w:t>
      </w:r>
      <w:r>
        <w:rPr>
          <w:rFonts w:ascii="Arial" w:eastAsia="Arial" w:hAnsi="Arial" w:cs="Arial"/>
          <w:sz w:val="28"/>
          <w:szCs w:val="28"/>
        </w:rPr>
        <w:t xml:space="preserve"> y al </w:t>
      </w:r>
      <w:r>
        <w:rPr>
          <w:rFonts w:ascii="Arial" w:eastAsia="Arial" w:hAnsi="Arial" w:cs="Arial"/>
          <w:b/>
          <w:bCs/>
          <w:sz w:val="28"/>
          <w:szCs w:val="28"/>
        </w:rPr>
        <w:t>Real Decreto 577/2013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(Anexo 18)</w:t>
      </w:r>
      <w:r>
        <w:rPr>
          <w:rFonts w:ascii="Arial" w:eastAsia="Arial" w:hAnsi="Arial" w:cs="Arial"/>
          <w:sz w:val="28"/>
          <w:szCs w:val="28"/>
        </w:rPr>
        <w:t xml:space="preserve">. </w:t>
      </w:r>
    </w:p>
    <w:bookmarkEnd w:id="0"/>
    <w:p w14:paraId="74123DA1" w14:textId="77D5B7C8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>Se exige que se reconozca expresamente la posibilidad de notificación directa por el ciudadano, la obligación del centro de informar de esa vía en el acto vacunal, y la publicación periódica de información agregada y anonimizada de seguridad, como garantía de transparencia compatible con la protección de datos.</w:t>
      </w:r>
    </w:p>
    <w:p w14:paraId="7AD33601" w14:textId="77777777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>La información sobre seguridad deberá publicarse de forma periódica, agregada, anonimizada, comprensible y accesible para la ciudadanía, incluyendo información sobre las notificaciones recibidas, sin perjuicio de las obligaciones legales de evaluación científica y protección de datos.</w:t>
      </w:r>
    </w:p>
    <w:p w14:paraId="2D3E4F01" w14:textId="2D3E4F01" w:rsidR="00C47D2B" w:rsidRDefault="00DD26A2" w:rsidP="00B64741">
      <w:pPr>
        <w:spacing w:before="300" w:after="200"/>
        <w:jc w:val="both"/>
      </w:pPr>
      <w:r>
        <w:rPr>
          <w:rFonts w:ascii="Arial" w:eastAsia="Arial" w:hAnsi="Arial" w:cs="Arial"/>
          <w:b/>
          <w:bCs/>
          <w:color w:val="0D2F5E"/>
          <w:sz w:val="28"/>
          <w:szCs w:val="28"/>
        </w:rPr>
        <w:t>XI. RÉGIMEN DE RESPONSABILIDAD Y COMPENSACIÓN POR DAÑOS DERIVADOS DE LA VACUNACIÓN</w:t>
      </w:r>
    </w:p>
    <w:p w14:paraId="2D3E4F02" w14:textId="2D3E4F02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 xml:space="preserve">Considero imprescindible que el </w:t>
      </w:r>
      <w:r>
        <w:rPr>
          <w:rFonts w:ascii="Arial" w:eastAsia="Arial" w:hAnsi="Arial" w:cs="Arial"/>
          <w:b/>
          <w:bCs/>
          <w:sz w:val="28"/>
          <w:szCs w:val="28"/>
        </w:rPr>
        <w:t>Real Decreto</w:t>
      </w:r>
      <w:r>
        <w:rPr>
          <w:rFonts w:ascii="Arial" w:eastAsia="Arial" w:hAnsi="Arial" w:cs="Arial"/>
          <w:sz w:val="28"/>
          <w:szCs w:val="28"/>
        </w:rPr>
        <w:t xml:space="preserve"> determine con claridad el régimen de responsabilidad y, en su caso, de compensación aplicable ante daños derivados de la vacunación internacional.</w:t>
      </w:r>
    </w:p>
    <w:p w14:paraId="2D3E4F03" w14:textId="2D3E4F03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 xml:space="preserve">España carece actualmente de un fondo específico de compensación por daños vacunales, a diferencia de otros países de nuestro entorno, por lo que el resarcimiento debe canalizarse por la vía de la responsabilidad patrimonial de las Administraciones Públicas, conforme al artículo </w:t>
      </w:r>
      <w:r>
        <w:rPr>
          <w:rFonts w:ascii="Arial" w:eastAsia="Arial" w:hAnsi="Arial" w:cs="Arial"/>
          <w:b/>
          <w:bCs/>
          <w:sz w:val="28"/>
          <w:szCs w:val="28"/>
        </w:rPr>
        <w:t>106.2 de la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Constitución Española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(Anexo 4)</w:t>
      </w:r>
      <w:r>
        <w:rPr>
          <w:rFonts w:ascii="Arial" w:eastAsia="Arial" w:hAnsi="Arial" w:cs="Arial"/>
          <w:sz w:val="28"/>
          <w:szCs w:val="28"/>
        </w:rPr>
        <w:t xml:space="preserve"> y de la </w:t>
      </w:r>
      <w:r>
        <w:rPr>
          <w:rFonts w:ascii="Arial" w:eastAsia="Arial" w:hAnsi="Arial" w:cs="Arial"/>
          <w:b/>
          <w:bCs/>
          <w:sz w:val="28"/>
          <w:szCs w:val="28"/>
        </w:rPr>
        <w:t>Ley 40/2015, de Régimen Jurídico del Sector Público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(Anexo 19)</w:t>
      </w:r>
      <w:r>
        <w:rPr>
          <w:rFonts w:ascii="Arial" w:eastAsia="Arial" w:hAnsi="Arial" w:cs="Arial"/>
          <w:sz w:val="28"/>
          <w:szCs w:val="28"/>
        </w:rPr>
        <w:t>, con las dificultades probatorias y de plazo que ello conlleva.</w:t>
      </w:r>
    </w:p>
    <w:p w14:paraId="2D3E4F04" w14:textId="2D3E4F04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 xml:space="preserve">Solicito que el </w:t>
      </w:r>
      <w:r>
        <w:rPr>
          <w:rFonts w:ascii="Arial" w:eastAsia="Arial" w:hAnsi="Arial" w:cs="Arial"/>
          <w:b/>
          <w:bCs/>
          <w:sz w:val="28"/>
          <w:szCs w:val="28"/>
        </w:rPr>
        <w:t>Real Decreto</w:t>
      </w:r>
      <w:r>
        <w:rPr>
          <w:rFonts w:ascii="Arial" w:eastAsia="Arial" w:hAnsi="Arial" w:cs="Arial"/>
          <w:sz w:val="28"/>
          <w:szCs w:val="28"/>
        </w:rPr>
        <w:t xml:space="preserve"> identifique expresamente la vía de reclamación aplicable a cada centro, público o privado autorizado, y valore la conveniencia de establecer un mecanismo específico de compensación, ágil y con criterios objetivos, para los daños vinculados a la vacunación internacional.</w:t>
      </w:r>
    </w:p>
    <w:p w14:paraId="24E83D6B" w14:textId="77777777" w:rsidR="00E67C80" w:rsidRDefault="00E67C80" w:rsidP="00B64741">
      <w:pPr>
        <w:spacing w:before="300" w:after="200"/>
        <w:jc w:val="both"/>
        <w:rPr>
          <w:rFonts w:ascii="Arial" w:eastAsia="Arial" w:hAnsi="Arial" w:cs="Arial"/>
          <w:b/>
          <w:bCs/>
          <w:color w:val="0D2F5E"/>
          <w:sz w:val="28"/>
          <w:szCs w:val="28"/>
        </w:rPr>
      </w:pPr>
    </w:p>
    <w:p w14:paraId="2FFABDA5" w14:textId="77777777" w:rsidR="00E67C80" w:rsidRDefault="00E67C80" w:rsidP="00B64741">
      <w:pPr>
        <w:spacing w:before="300" w:after="200"/>
        <w:jc w:val="both"/>
        <w:rPr>
          <w:rFonts w:ascii="Arial" w:eastAsia="Arial" w:hAnsi="Arial" w:cs="Arial"/>
          <w:b/>
          <w:bCs/>
          <w:color w:val="0D2F5E"/>
          <w:sz w:val="28"/>
          <w:szCs w:val="28"/>
        </w:rPr>
      </w:pPr>
    </w:p>
    <w:p w14:paraId="7AD33648" w14:textId="7C8907BC" w:rsidR="00C47D2B" w:rsidRDefault="00DD26A2" w:rsidP="00B64741">
      <w:pPr>
        <w:spacing w:before="300" w:after="200"/>
        <w:jc w:val="both"/>
      </w:pPr>
      <w:r>
        <w:rPr>
          <w:rFonts w:ascii="Arial" w:eastAsia="Arial" w:hAnsi="Arial" w:cs="Arial"/>
          <w:b/>
          <w:bCs/>
          <w:color w:val="0D2F5E"/>
          <w:sz w:val="28"/>
          <w:szCs w:val="28"/>
        </w:rPr>
        <w:t>XII. REQUISITOS OBJETIVOS Y VERIFICABLES DE LOS CENTROS AUTORIZADOS</w:t>
      </w:r>
    </w:p>
    <w:p w14:paraId="13D65E79" w14:textId="77777777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>Los requisitos de autorización de los centros deben incluir criterios verificables de formación continuada en detección y manejo de reacciones adversas graves, disponibilidad acreditada de medios de atención inmediata a la anafilaxia, y un régimen de inspección y auditoría externa periódica, con publicidad del registro de centros autorizados, evitando modelos de habilitación excesivamente abiertos.</w:t>
      </w:r>
    </w:p>
    <w:p w14:paraId="21F2F401" w14:textId="21F2F401" w:rsidR="00C47D2B" w:rsidRDefault="00DD26A2">
      <w:pPr>
        <w:spacing w:after="200"/>
        <w:jc w:val="both"/>
      </w:pPr>
      <w:r>
        <w:rPr>
          <w:rFonts w:ascii="Arial" w:eastAsia="Arial" w:hAnsi="Arial" w:cs="Arial"/>
          <w:b/>
          <w:bCs/>
          <w:i/>
          <w:iCs/>
          <w:sz w:val="28"/>
          <w:szCs w:val="28"/>
        </w:rPr>
        <w:t>Asimismo, la administración de cualquier vacuna o profilaxis exigirá una valoración médica individualizada previa y quedará prescrita por un profesional sanitario colegiado, dejando constancia de dicha prescripción en la historia clínica, sin que pueda administrarse sobre la base de una recomendación genérica no individualizada</w:t>
      </w:r>
      <w:r>
        <w:rPr>
          <w:rFonts w:ascii="Arial" w:eastAsia="Arial" w:hAnsi="Arial" w:cs="Arial"/>
          <w:sz w:val="28"/>
          <w:szCs w:val="28"/>
        </w:rPr>
        <w:t>.</w:t>
      </w:r>
    </w:p>
    <w:p w14:paraId="21F2F43E" w14:textId="77777777" w:rsidR="00C47D2B" w:rsidRDefault="00DD26A2" w:rsidP="00E67C80">
      <w:pPr>
        <w:spacing w:before="300" w:after="200"/>
        <w:jc w:val="both"/>
      </w:pPr>
      <w:r>
        <w:rPr>
          <w:rFonts w:ascii="Arial" w:eastAsia="Arial" w:hAnsi="Arial" w:cs="Arial"/>
          <w:b/>
          <w:bCs/>
          <w:color w:val="0D2F5E"/>
          <w:sz w:val="28"/>
          <w:szCs w:val="28"/>
        </w:rPr>
        <w:t>XIII. RELACIÓN CON EL REGLAMENTO SANITARIO INTERNACIONAL (2005): LO QUE PUEDE EXIGIRSE Y LO QUE NO</w:t>
      </w:r>
    </w:p>
    <w:p w14:paraId="09587F04" w14:textId="601772C1" w:rsidR="00DD7F73" w:rsidRDefault="00DD26A2">
      <w:pPr>
        <w:spacing w:after="20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Solicito que se aclare expresamente, artículo por artículo, la relación entre el Real Decreto proyectado y las obligaciones derivadas del </w:t>
      </w:r>
      <w:r>
        <w:rPr>
          <w:rFonts w:ascii="Arial" w:eastAsia="Arial" w:hAnsi="Arial" w:cs="Arial"/>
          <w:b/>
          <w:bCs/>
          <w:sz w:val="28"/>
          <w:szCs w:val="28"/>
        </w:rPr>
        <w:t>Reglamento Sanitario Internacional (2005)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(Anexo 12)</w:t>
      </w:r>
      <w:r>
        <w:rPr>
          <w:rFonts w:ascii="Arial" w:eastAsia="Arial" w:hAnsi="Arial" w:cs="Arial"/>
          <w:sz w:val="28"/>
          <w:szCs w:val="28"/>
        </w:rPr>
        <w:t xml:space="preserve">, </w:t>
      </w:r>
      <w:r>
        <w:rPr>
          <w:rFonts w:ascii="Arial" w:eastAsia="Arial" w:hAnsi="Arial" w:cs="Arial"/>
          <w:b/>
          <w:bCs/>
          <w:sz w:val="28"/>
          <w:szCs w:val="28"/>
        </w:rPr>
        <w:t>en particular su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artículo 23 y su anexo 7</w:t>
      </w:r>
      <w:r>
        <w:rPr>
          <w:rFonts w:ascii="Arial" w:eastAsia="Arial" w:hAnsi="Arial" w:cs="Arial"/>
          <w:sz w:val="28"/>
          <w:szCs w:val="28"/>
        </w:rPr>
        <w:t xml:space="preserve">, especificando que la única vacunación cuya certificación puede exigirse como obligación internacional vinculante es la de la fiebre amarilla, y que cualquier otra vacuna incluida en la cartera de servicios responde únicamente a una recomendación sanitaria de carácter voluntario, nunca a una obligación. </w:t>
      </w:r>
    </w:p>
    <w:p w14:paraId="0090AF6A" w14:textId="43114A34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>Esta delimitación expresa es la garantía más eficaz frente a una futura expansión encubierta del ámbito de la norma.</w:t>
      </w:r>
    </w:p>
    <w:p w14:paraId="49A63486" w14:textId="1F0FB6B3" w:rsidR="00C47D2B" w:rsidRDefault="00DD26A2">
      <w:pPr>
        <w:spacing w:before="300" w:after="200"/>
      </w:pPr>
      <w:r>
        <w:rPr>
          <w:rFonts w:ascii="Arial" w:eastAsia="Arial" w:hAnsi="Arial" w:cs="Arial"/>
          <w:b/>
          <w:bCs/>
          <w:color w:val="0D2F5E"/>
          <w:sz w:val="28"/>
          <w:szCs w:val="28"/>
        </w:rPr>
        <w:t>XIV. PRINCIPIO DE PROPORCIONALIDAD</w:t>
      </w:r>
    </w:p>
    <w:p w14:paraId="0839C94F" w14:textId="77777777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>La existencia de un riesgo sanitario no justifica por sí sola cualquier medida. Debe acreditarse la necesidad de la intervención, su idoneidad para alcanzar el objetivo perseguido y que no exista una alternativa menos restrictiva de los derechos afectados.</w:t>
      </w:r>
    </w:p>
    <w:p w14:paraId="2BEC855C" w14:textId="2A96B05F" w:rsidR="00C47D2B" w:rsidRDefault="00DD26A2">
      <w:pPr>
        <w:spacing w:before="300" w:after="200"/>
      </w:pPr>
      <w:r>
        <w:rPr>
          <w:rFonts w:ascii="Arial" w:eastAsia="Arial" w:hAnsi="Arial" w:cs="Arial"/>
          <w:b/>
          <w:bCs/>
          <w:color w:val="0D2F5E"/>
          <w:sz w:val="28"/>
          <w:szCs w:val="28"/>
        </w:rPr>
        <w:t>XV. TRANSPARENCIA, CONTROL Y EVALUACIÓN EX POST</w:t>
      </w:r>
    </w:p>
    <w:p w14:paraId="00BDD0AD" w14:textId="77777777" w:rsidR="00DD7F73" w:rsidRDefault="00DD26A2">
      <w:pPr>
        <w:spacing w:after="20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Las decisiones que puedan afectar a derechos fundamentales deben ser transparentes, motivadas y susceptibles de revisión. </w:t>
      </w:r>
    </w:p>
    <w:p w14:paraId="2BC4F3F6" w14:textId="743718C2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>Solicito que el texto incorpore una cláusula expresa de revisión y evaluación a los dos o tres años de su entrada en vigor, con indicadores públicos de seguridad, cobertura, accesibilidad y reclamaciones registradas, de modo que cualquier ampliación futura de la norma sea objetivable y no discrecional.</w:t>
      </w:r>
    </w:p>
    <w:p w14:paraId="5638EB47" w14:textId="77777777" w:rsidR="00E67C80" w:rsidRDefault="00E67C80">
      <w:pPr>
        <w:spacing w:before="300" w:after="200"/>
        <w:rPr>
          <w:rFonts w:ascii="Arial" w:eastAsia="Arial" w:hAnsi="Arial" w:cs="Arial"/>
          <w:b/>
          <w:bCs/>
          <w:color w:val="0D2F5E"/>
          <w:sz w:val="28"/>
          <w:szCs w:val="28"/>
        </w:rPr>
      </w:pPr>
    </w:p>
    <w:p w14:paraId="7EA9EAA8" w14:textId="77777777" w:rsidR="00E67C80" w:rsidRDefault="00E67C80">
      <w:pPr>
        <w:spacing w:before="300" w:after="200"/>
        <w:rPr>
          <w:rFonts w:ascii="Arial" w:eastAsia="Arial" w:hAnsi="Arial" w:cs="Arial"/>
          <w:b/>
          <w:bCs/>
          <w:color w:val="0D2F5E"/>
          <w:sz w:val="28"/>
          <w:szCs w:val="28"/>
        </w:rPr>
      </w:pPr>
    </w:p>
    <w:p w14:paraId="3DD00088" w14:textId="60A6EB9E" w:rsidR="00C47D2B" w:rsidRDefault="00DD26A2">
      <w:pPr>
        <w:spacing w:before="300" w:after="200"/>
      </w:pPr>
      <w:r>
        <w:rPr>
          <w:rFonts w:ascii="Arial" w:eastAsia="Arial" w:hAnsi="Arial" w:cs="Arial"/>
          <w:b/>
          <w:bCs/>
          <w:color w:val="0D2F5E"/>
          <w:sz w:val="28"/>
          <w:szCs w:val="28"/>
        </w:rPr>
        <w:t>XVI. PETICIONES</w:t>
      </w:r>
    </w:p>
    <w:p w14:paraId="6FB124EA" w14:textId="77777777" w:rsidR="00C47D2B" w:rsidRDefault="00DD26A2">
      <w:pPr>
        <w:spacing w:after="200"/>
        <w:jc w:val="both"/>
      </w:pPr>
      <w:r>
        <w:rPr>
          <w:rFonts w:ascii="Arial" w:eastAsia="Arial" w:hAnsi="Arial" w:cs="Arial"/>
          <w:b/>
          <w:bCs/>
          <w:sz w:val="28"/>
          <w:szCs w:val="28"/>
        </w:rPr>
        <w:t>SOLICITO:</w:t>
      </w:r>
    </w:p>
    <w:p w14:paraId="79E21818" w14:textId="60C82D6C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 xml:space="preserve">1. Que se confirme el cumplimiento de las obligaciones de difusión activa de la </w:t>
      </w:r>
      <w:r>
        <w:rPr>
          <w:rFonts w:ascii="Arial" w:eastAsia="Arial" w:hAnsi="Arial" w:cs="Arial"/>
          <w:b/>
          <w:bCs/>
          <w:sz w:val="28"/>
          <w:szCs w:val="28"/>
        </w:rPr>
        <w:t>Orden PRE/1590/2016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(Anexo 2)</w:t>
      </w:r>
      <w:r>
        <w:rPr>
          <w:rFonts w:ascii="Arial" w:eastAsia="Arial" w:hAnsi="Arial" w:cs="Arial"/>
          <w:sz w:val="28"/>
          <w:szCs w:val="28"/>
        </w:rPr>
        <w:t xml:space="preserve"> y que, en su defecto, se amplíe el plazo de la consulta pública.</w:t>
      </w:r>
    </w:p>
    <w:p w14:paraId="71C350EB" w14:textId="77777777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 xml:space="preserve">2. Que se reconozca expresamente que el futuro </w:t>
      </w:r>
      <w:r>
        <w:rPr>
          <w:rFonts w:ascii="Arial" w:eastAsia="Arial" w:hAnsi="Arial" w:cs="Arial"/>
          <w:b/>
          <w:bCs/>
          <w:sz w:val="28"/>
          <w:szCs w:val="28"/>
        </w:rPr>
        <w:t>Real Decreto</w:t>
      </w:r>
      <w:r>
        <w:rPr>
          <w:rFonts w:ascii="Arial" w:eastAsia="Arial" w:hAnsi="Arial" w:cs="Arial"/>
          <w:sz w:val="28"/>
          <w:szCs w:val="28"/>
        </w:rPr>
        <w:t xml:space="preserve"> no constituye una habilitación general para limitar derechos fundamentales.</w:t>
      </w:r>
    </w:p>
    <w:p w14:paraId="6D043F7B" w14:textId="77777777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>3. Que no se establezca ni permita establecerse, por vía reglamentaria o de rango inferior, una obligación general de vacunación como condición para viajar.</w:t>
      </w:r>
    </w:p>
    <w:p w14:paraId="5704321D" w14:textId="77777777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 xml:space="preserve">4. Que la cartera de servicios y los supuestos de exigencia se fijen íntegramente en el propio </w:t>
      </w:r>
      <w:r>
        <w:rPr>
          <w:rFonts w:ascii="Arial" w:eastAsia="Arial" w:hAnsi="Arial" w:cs="Arial"/>
          <w:b/>
          <w:bCs/>
          <w:sz w:val="28"/>
          <w:szCs w:val="28"/>
        </w:rPr>
        <w:t>Real Decreto</w:t>
      </w:r>
      <w:r>
        <w:rPr>
          <w:rFonts w:ascii="Arial" w:eastAsia="Arial" w:hAnsi="Arial" w:cs="Arial"/>
          <w:sz w:val="28"/>
          <w:szCs w:val="28"/>
        </w:rPr>
        <w:t>, sin remisión a Órdenes Ministeriales, protocolos o instrucciones.</w:t>
      </w:r>
    </w:p>
    <w:p w14:paraId="00000005" w14:textId="00000005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>5. Que cualquier modificación sustancial de la cartera de servicios, de los tipos de certificados, de los datos objeto de registro o de las condiciones aplicables a los viajeros que pueda afectar a derechos o libertades de los ciudadanos quede sometida previamente al procedimiento de participación pública que legalmente corresponda, sin que pueda realizarse mediante protocolos, instrucciones técnicas o decisiones administrativas de alcance general carentes de publicidad y participación suficientes.</w:t>
      </w:r>
    </w:p>
    <w:p w14:paraId="3B6DED56" w14:textId="28577A40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 xml:space="preserve">6. Que el </w:t>
      </w:r>
      <w:r>
        <w:rPr>
          <w:rFonts w:ascii="Arial" w:eastAsia="Arial" w:hAnsi="Arial" w:cs="Arial"/>
          <w:b/>
          <w:bCs/>
          <w:sz w:val="28"/>
          <w:szCs w:val="28"/>
        </w:rPr>
        <w:t>Real Decreto</w:t>
      </w:r>
      <w:r>
        <w:rPr>
          <w:rFonts w:ascii="Arial" w:eastAsia="Arial" w:hAnsi="Arial" w:cs="Arial"/>
          <w:sz w:val="28"/>
          <w:szCs w:val="28"/>
        </w:rPr>
        <w:t xml:space="preserve"> no introduzca ninguna exigencia de certificado sanitario propia para viajar, limitándose a informar de las que, en su caso, impongan terceros países en aplicación del </w:t>
      </w:r>
      <w:r>
        <w:rPr>
          <w:rFonts w:ascii="Arial" w:eastAsia="Arial" w:hAnsi="Arial" w:cs="Arial"/>
          <w:b/>
          <w:bCs/>
          <w:sz w:val="28"/>
          <w:szCs w:val="28"/>
        </w:rPr>
        <w:t>Reglamento Sanitario Internacional (2005) (Anexo 12),</w:t>
      </w:r>
      <w:r>
        <w:rPr>
          <w:rFonts w:ascii="Arial" w:eastAsia="Arial" w:hAnsi="Arial" w:cs="Arial"/>
          <w:sz w:val="28"/>
          <w:szCs w:val="28"/>
        </w:rPr>
        <w:t xml:space="preserve"> sin que España añada ninguna condición adicional.</w:t>
      </w:r>
    </w:p>
    <w:p w14:paraId="00000007" w14:textId="56BE4644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 xml:space="preserve">7. Que el futuro </w:t>
      </w:r>
      <w:r>
        <w:rPr>
          <w:rFonts w:ascii="Arial" w:eastAsia="Arial" w:hAnsi="Arial" w:cs="Arial"/>
          <w:b/>
          <w:bCs/>
          <w:sz w:val="28"/>
          <w:szCs w:val="28"/>
        </w:rPr>
        <w:t>Real Decreto</w:t>
      </w:r>
      <w:r>
        <w:rPr>
          <w:rFonts w:ascii="Arial" w:eastAsia="Arial" w:hAnsi="Arial" w:cs="Arial"/>
          <w:sz w:val="28"/>
          <w:szCs w:val="28"/>
        </w:rPr>
        <w:t xml:space="preserve"> establezca expresamente que la mera existencia de un certificado internacional de vacunación no determina por sí misma la aptitud, autorización o prohibición de una persona para viajar, y que ningún certificado pueda utilizarse como mecanismo general de discriminación o exclusión fuera del supuesto sanitario concreto que legalmente lo justifique.</w:t>
      </w:r>
    </w:p>
    <w:p w14:paraId="0336C0F5" w14:textId="77777777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>8. Que la justificación científica y epidemiológica de cualquier exigencia de certificación internacional se revise y se haga pública de forma periódica por las autoridades competentes, y no dependa de la mera inercia normativa.</w:t>
      </w:r>
    </w:p>
    <w:p w14:paraId="669519C5" w14:textId="77777777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>9. Que se garantice el consentimiento informado, previo, libre, individualizado y revocable para toda vacunación internacional.</w:t>
      </w:r>
    </w:p>
    <w:p w14:paraId="3A3A3A01" w14:textId="3A3A3A01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>10. Que la administración de cualquier vacuna o profilaxis exija una valoración médica individualizada previa y quede prescrita por un profesional sanitario colegiado, dejando constancia de dicha prescripción en la historia clínica.</w:t>
      </w:r>
    </w:p>
    <w:p w14:paraId="1AF2C365" w14:textId="77777777" w:rsidR="00E67C80" w:rsidRDefault="00E67C80">
      <w:pPr>
        <w:spacing w:after="200"/>
        <w:jc w:val="both"/>
        <w:rPr>
          <w:rFonts w:ascii="Arial" w:eastAsia="Arial" w:hAnsi="Arial" w:cs="Arial"/>
          <w:sz w:val="28"/>
          <w:szCs w:val="28"/>
        </w:rPr>
      </w:pPr>
    </w:p>
    <w:p w14:paraId="7823DE28" w14:textId="77777777" w:rsidR="00E67C80" w:rsidRDefault="00E67C80">
      <w:pPr>
        <w:spacing w:after="200"/>
        <w:jc w:val="both"/>
        <w:rPr>
          <w:rFonts w:ascii="Arial" w:eastAsia="Arial" w:hAnsi="Arial" w:cs="Arial"/>
          <w:sz w:val="28"/>
          <w:szCs w:val="28"/>
        </w:rPr>
      </w:pPr>
    </w:p>
    <w:p w14:paraId="339914A2" w14:textId="77777777" w:rsidR="00E67C80" w:rsidRDefault="00E67C80">
      <w:pPr>
        <w:spacing w:after="200"/>
        <w:jc w:val="both"/>
        <w:rPr>
          <w:rFonts w:ascii="Arial" w:eastAsia="Arial" w:hAnsi="Arial" w:cs="Arial"/>
          <w:sz w:val="28"/>
          <w:szCs w:val="28"/>
        </w:rPr>
      </w:pPr>
    </w:p>
    <w:p w14:paraId="00000010" w14:textId="130EA33D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 xml:space="preserve">11. Que el futuro </w:t>
      </w:r>
      <w:r>
        <w:rPr>
          <w:rFonts w:ascii="Arial" w:eastAsia="Arial" w:hAnsi="Arial" w:cs="Arial"/>
          <w:b/>
          <w:bCs/>
          <w:sz w:val="28"/>
          <w:szCs w:val="28"/>
        </w:rPr>
        <w:t>Real Decreto</w:t>
      </w:r>
      <w:r>
        <w:rPr>
          <w:rFonts w:ascii="Arial" w:eastAsia="Arial" w:hAnsi="Arial" w:cs="Arial"/>
          <w:sz w:val="28"/>
          <w:szCs w:val="28"/>
        </w:rPr>
        <w:t xml:space="preserve"> no pueda ser interpretado como habilitación autónoma para imponer vacunaciones no consentidas invocando la </w:t>
      </w:r>
      <w:r>
        <w:rPr>
          <w:rFonts w:ascii="Arial" w:eastAsia="Arial" w:hAnsi="Arial" w:cs="Arial"/>
          <w:b/>
          <w:bCs/>
          <w:sz w:val="28"/>
          <w:szCs w:val="28"/>
        </w:rPr>
        <w:t>Ley Orgánica 3/1986 (Anexo 13)</w:t>
      </w:r>
      <w:r>
        <w:rPr>
          <w:rFonts w:ascii="Arial" w:eastAsia="Arial" w:hAnsi="Arial" w:cs="Arial"/>
          <w:sz w:val="28"/>
          <w:szCs w:val="28"/>
        </w:rPr>
        <w:t xml:space="preserve"> o la </w:t>
      </w:r>
      <w:r>
        <w:rPr>
          <w:rFonts w:ascii="Arial" w:eastAsia="Arial" w:hAnsi="Arial" w:cs="Arial"/>
          <w:b/>
          <w:bCs/>
          <w:sz w:val="28"/>
          <w:szCs w:val="28"/>
        </w:rPr>
        <w:t>Ley 33/2011 (Anexo 8)</w:t>
      </w:r>
      <w:r>
        <w:rPr>
          <w:rFonts w:ascii="Arial" w:eastAsia="Arial" w:hAnsi="Arial" w:cs="Arial"/>
          <w:sz w:val="28"/>
          <w:szCs w:val="28"/>
        </w:rPr>
        <w:t>, y que cualquier medida excepcional que pueda afectar a la integridad física o a la autonomía personal requiera la cobertura legal correspondiente, una justificación concreta, respeto al principio de proporcionalidad y, cuando legalmente proceda, el correspondiente control judicial.</w:t>
      </w:r>
    </w:p>
    <w:p w14:paraId="0ABE8FD6" w14:textId="24C627C3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 xml:space="preserve">12. Que la base jurídica, finalidad, plazos de conservación y responsables del tratamiento de datos sanitarios se fijen en el propio texto, con referencia expresa al </w:t>
      </w:r>
      <w:r>
        <w:rPr>
          <w:rFonts w:ascii="Arial" w:eastAsia="Arial" w:hAnsi="Arial" w:cs="Arial"/>
          <w:b/>
          <w:bCs/>
          <w:sz w:val="28"/>
          <w:szCs w:val="28"/>
        </w:rPr>
        <w:t>RGPD (Anexo 14)</w:t>
      </w:r>
      <w:r>
        <w:rPr>
          <w:rFonts w:ascii="Arial" w:eastAsia="Arial" w:hAnsi="Arial" w:cs="Arial"/>
          <w:sz w:val="28"/>
          <w:szCs w:val="28"/>
        </w:rPr>
        <w:t xml:space="preserve"> y al </w:t>
      </w:r>
      <w:r>
        <w:rPr>
          <w:rFonts w:ascii="Arial" w:eastAsia="Arial" w:hAnsi="Arial" w:cs="Arial"/>
          <w:b/>
          <w:bCs/>
          <w:sz w:val="28"/>
          <w:szCs w:val="28"/>
        </w:rPr>
        <w:t>Espacio Europeo de Datos de Salud (Anexo 16).</w:t>
      </w:r>
    </w:p>
    <w:p w14:paraId="4BA0C315" w14:textId="0186C862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>13. Que no se implante ningún mecanismo de control sanitario individualizado de la ciudadanía -registro, certificado, alerta o cualquier otro instrumento que permita seguir o condicionar a una persona concreta por su estado de vacunación- más allá de la vigilancia epidemiológica agregada y anonimizada estrictamente necesaria para la salud pública.</w:t>
      </w:r>
    </w:p>
    <w:p w14:paraId="00000013" w14:textId="00000013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>14. Que la digitalización de la información sobre vacunación internacional y su interoperabilidad con los sistemas del Sistema Nacional de Salud no puedan utilizarse, bajo ninguna forma, como mecanismo general de identificación, seguimiento o control de la movilidad de las personas en función de su estado vacunal.</w:t>
      </w:r>
    </w:p>
    <w:p w14:paraId="7168E6C3" w14:textId="77777777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>15. Que se reconozca expresamente que los datos sanitarios del viajero solo pueden ser accedidos por quienes él mismo autorice, y que ninguna Administración ostenta sobre ellos un derecho general, sino únicamente las facultades tasadas y excepcionales que las leyes citadas permiten con carácter restrictivo.</w:t>
      </w:r>
    </w:p>
    <w:p w14:paraId="6069BF2C" w14:textId="77777777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>16. Que se establezca un sistema obligatorio de farmacovigilancia con notificación directa del ciudadano y publicación periódica de datos agregados de seguridad.</w:t>
      </w:r>
    </w:p>
    <w:p w14:paraId="3A3A3A02" w14:textId="577612A1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 xml:space="preserve">17. Que el </w:t>
      </w:r>
      <w:r>
        <w:rPr>
          <w:rFonts w:ascii="Arial" w:eastAsia="Arial" w:hAnsi="Arial" w:cs="Arial"/>
          <w:b/>
          <w:bCs/>
          <w:sz w:val="28"/>
          <w:szCs w:val="28"/>
        </w:rPr>
        <w:t>Real Decreto</w:t>
      </w:r>
      <w:r>
        <w:rPr>
          <w:rFonts w:ascii="Arial" w:eastAsia="Arial" w:hAnsi="Arial" w:cs="Arial"/>
          <w:sz w:val="28"/>
          <w:szCs w:val="28"/>
        </w:rPr>
        <w:t xml:space="preserve"> determine con claridad el régimen de responsabilidad y la vía de reclamación aplicable ante daños derivados de la vacunación internacional, valorando el establecimiento de un mecanismo específico de compensación, ágil y con criterios objetivos.</w:t>
      </w:r>
    </w:p>
    <w:p w14:paraId="53D7F065" w14:textId="77777777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>18. Que los requisitos de autorización de los centros sean objetivos, verificables y sometidos a inspección periódica.</w:t>
      </w:r>
    </w:p>
    <w:p w14:paraId="1E2E44BC" w14:textId="77777777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>19. Que se incorpore una cláusula de evaluación ex post a los dos o tres años, con indicadores públicos.</w:t>
      </w:r>
    </w:p>
    <w:p w14:paraId="700FA54E" w14:textId="77777777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>20. Que toda medida restrictiva sea necesaria, idónea, proporcional, temporal, motivada y susceptible de control judicial.</w:t>
      </w:r>
    </w:p>
    <w:p w14:paraId="23458657" w14:textId="77777777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>21. Que las aportaciones de esta consulta sean efectivamente valoradas y se hagan públicas las modificaciones sustanciales introducidas en el proyecto.</w:t>
      </w:r>
    </w:p>
    <w:p w14:paraId="696D791B" w14:textId="77777777" w:rsidR="00E67C80" w:rsidRDefault="00E67C80">
      <w:pPr>
        <w:spacing w:before="300" w:after="200"/>
        <w:rPr>
          <w:rFonts w:ascii="Arial" w:eastAsia="Arial" w:hAnsi="Arial" w:cs="Arial"/>
          <w:b/>
          <w:bCs/>
          <w:color w:val="0D2F5E"/>
          <w:sz w:val="28"/>
          <w:szCs w:val="28"/>
        </w:rPr>
      </w:pPr>
    </w:p>
    <w:p w14:paraId="3D3F8BC0" w14:textId="12B94A8B" w:rsidR="00C47D2B" w:rsidRDefault="00DD26A2">
      <w:pPr>
        <w:spacing w:before="300" w:after="200"/>
      </w:pPr>
      <w:r>
        <w:rPr>
          <w:rFonts w:ascii="Arial" w:eastAsia="Arial" w:hAnsi="Arial" w:cs="Arial"/>
          <w:b/>
          <w:bCs/>
          <w:color w:val="0D2F5E"/>
          <w:sz w:val="28"/>
          <w:szCs w:val="28"/>
        </w:rPr>
        <w:t>XVII. CONSIDERACIÓN FINAL</w:t>
      </w:r>
    </w:p>
    <w:p w14:paraId="49E11DEA" w14:textId="77777777" w:rsidR="00C47D2B" w:rsidRDefault="00DD26A2">
      <w:pPr>
        <w:spacing w:after="200"/>
        <w:jc w:val="both"/>
      </w:pPr>
      <w:r>
        <w:rPr>
          <w:rFonts w:ascii="Arial" w:eastAsia="Arial" w:hAnsi="Arial" w:cs="Arial"/>
          <w:b/>
          <w:bCs/>
          <w:sz w:val="28"/>
          <w:szCs w:val="28"/>
        </w:rPr>
        <w:t>Defiendo la protección de la salud pública, pero no aceptaré que proteger la salud se traduzca en privar a las personas de su libre albedrío para decidir sobre su propio cuerpo. Ninguna obligación sanitaria general, ninguna restricción general de la movilidad y ningún sistema de control sanitario de la ciudadanía pueden surgir, ni ahora ni en el futuro, de manera indeterminada de un reglamento o de los instrumentos que lo desarrollen.</w:t>
      </w:r>
    </w:p>
    <w:p w14:paraId="5C4579B1" w14:textId="77777777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 xml:space="preserve">Solicito, por tanto, que el futuro </w:t>
      </w:r>
      <w:r>
        <w:rPr>
          <w:rFonts w:ascii="Arial" w:eastAsia="Arial" w:hAnsi="Arial" w:cs="Arial"/>
          <w:b/>
          <w:bCs/>
          <w:sz w:val="28"/>
          <w:szCs w:val="28"/>
        </w:rPr>
        <w:t>Real Decreto</w:t>
      </w:r>
      <w:r>
        <w:rPr>
          <w:rFonts w:ascii="Arial" w:eastAsia="Arial" w:hAnsi="Arial" w:cs="Arial"/>
          <w:sz w:val="28"/>
          <w:szCs w:val="28"/>
        </w:rPr>
        <w:t xml:space="preserve"> incorpore límites jurídicos expresos que impidan cualquier interpretación expansiva de sus competencias, cierre las tres vías de ampliación futura señaladas en este escrito - la cartera de servicios abierta, la excepcionalidad sanitaria y la digitalización sin límites -, garantice una difusión efectiva de sus trámites de participación, y preserve plenamente los derechos y libertades reconocidos por la Constitución.</w:t>
      </w:r>
    </w:p>
    <w:p w14:paraId="705A536A" w14:textId="77777777" w:rsidR="00C47D2B" w:rsidRDefault="00C47D2B">
      <w:pPr>
        <w:pBdr>
          <w:bottom w:val="single" w:sz="8" w:space="4" w:color="0D2F5E"/>
        </w:pBdr>
        <w:spacing w:before="200" w:after="300"/>
      </w:pPr>
    </w:p>
    <w:p w14:paraId="543EFAB9" w14:textId="11D2117A" w:rsidR="00C47D2B" w:rsidRDefault="00DD26A2">
      <w:pPr>
        <w:spacing w:before="300" w:after="200"/>
      </w:pPr>
      <w:r>
        <w:rPr>
          <w:rFonts w:ascii="Arial" w:eastAsia="Arial" w:hAnsi="Arial" w:cs="Arial"/>
          <w:b/>
          <w:bCs/>
          <w:color w:val="0D2F5E"/>
          <w:sz w:val="28"/>
          <w:szCs w:val="28"/>
        </w:rPr>
        <w:t>INFORMACIÓN PARA LA PRESENTACIÓN DE ESTAS APORTACIONES</w:t>
      </w:r>
    </w:p>
    <w:p w14:paraId="0F2576BC" w14:textId="46DC7CD8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 xml:space="preserve">Las presentes aportaciones deben remitirse, dentro del plazo de la consulta pública previa (hasta el 7 de septiembre de 2026), al buzón habilitado por el Ministerio de Sanidad: </w:t>
      </w:r>
      <w:hyperlink r:id="rId7" w:history="1">
        <w:r>
          <w:rPr>
            <w:rStyle w:val="Hipervnculo"/>
            <w:rFonts w:ascii="Arial" w:eastAsia="Arial" w:hAnsi="Arial" w:cs="Arial"/>
            <w:sz w:val="28"/>
            <w:szCs w:val="28"/>
          </w:rPr>
          <w:t>saniext@sanidad.gob.es</w:t>
        </w:r>
      </w:hyperlink>
      <w:r>
        <w:rPr>
          <w:rFonts w:ascii="Arial" w:eastAsia="Arial" w:hAnsi="Arial" w:cs="Arial"/>
          <w:sz w:val="28"/>
          <w:szCs w:val="28"/>
        </w:rPr>
        <w:t xml:space="preserve"> </w:t>
      </w:r>
    </w:p>
    <w:p w14:paraId="2B48B083" w14:textId="77777777" w:rsidR="00C47D2B" w:rsidRDefault="00DD26A2">
      <w:pPr>
        <w:spacing w:after="200"/>
        <w:jc w:val="both"/>
      </w:pPr>
      <w:r>
        <w:rPr>
          <w:rFonts w:ascii="Arial" w:eastAsia="Arial" w:hAnsi="Arial" w:cs="Arial"/>
          <w:sz w:val="28"/>
          <w:szCs w:val="28"/>
        </w:rPr>
        <w:t xml:space="preserve">Con carácter complementario, y a efectos de registro oficial con acuse de recibo, puede utilizarse el </w:t>
      </w:r>
      <w:r>
        <w:rPr>
          <w:rFonts w:ascii="Arial" w:eastAsia="Arial" w:hAnsi="Arial" w:cs="Arial"/>
          <w:b/>
          <w:bCs/>
          <w:sz w:val="28"/>
          <w:szCs w:val="28"/>
        </w:rPr>
        <w:t>Registro Electrónico General (REG-AGE)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(Anexo 20)</w:t>
      </w:r>
      <w:r>
        <w:rPr>
          <w:rFonts w:ascii="Arial" w:eastAsia="Arial" w:hAnsi="Arial" w:cs="Arial"/>
          <w:sz w:val="28"/>
          <w:szCs w:val="28"/>
        </w:rPr>
        <w:t xml:space="preserve">, seleccionando como destinatario el Ministerio de Sanidad (requiere certificado digital o Cl@ve), disponible en: </w:t>
      </w:r>
      <w:hyperlink r:id="rId8" w:history="1">
        <w:r>
          <w:rPr>
            <w:rFonts w:ascii="Arial" w:eastAsia="Arial" w:hAnsi="Arial" w:cs="Arial"/>
            <w:color w:val="0563C1"/>
            <w:sz w:val="28"/>
            <w:szCs w:val="28"/>
            <w:u w:val="single"/>
          </w:rPr>
          <w:t>https://reg.redsara.es/es/</w:t>
        </w:r>
      </w:hyperlink>
    </w:p>
    <w:p w14:paraId="1EA85D7F" w14:textId="77777777" w:rsidR="00C47D2B" w:rsidRDefault="00C47D2B">
      <w:pPr>
        <w:pBdr>
          <w:bottom w:val="single" w:sz="8" w:space="4" w:color="0D2F5E"/>
        </w:pBdr>
        <w:spacing w:before="200" w:after="300"/>
      </w:pPr>
    </w:p>
    <w:p w14:paraId="5550244A" w14:textId="77777777" w:rsidR="00E67C80" w:rsidRDefault="00E67C80">
      <w:pPr>
        <w:spacing w:before="300" w:after="200"/>
        <w:rPr>
          <w:rFonts w:ascii="Arial" w:eastAsia="Arial" w:hAnsi="Arial" w:cs="Arial"/>
          <w:b/>
          <w:bCs/>
          <w:color w:val="0D2F5E"/>
          <w:sz w:val="28"/>
          <w:szCs w:val="28"/>
        </w:rPr>
      </w:pPr>
    </w:p>
    <w:p w14:paraId="06D4F286" w14:textId="77777777" w:rsidR="00E67C80" w:rsidRDefault="00E67C80">
      <w:pPr>
        <w:spacing w:before="300" w:after="200"/>
        <w:rPr>
          <w:rFonts w:ascii="Arial" w:eastAsia="Arial" w:hAnsi="Arial" w:cs="Arial"/>
          <w:b/>
          <w:bCs/>
          <w:color w:val="0D2F5E"/>
          <w:sz w:val="28"/>
          <w:szCs w:val="28"/>
        </w:rPr>
      </w:pPr>
    </w:p>
    <w:p w14:paraId="765C30A1" w14:textId="77777777" w:rsidR="00E67C80" w:rsidRDefault="00E67C80">
      <w:pPr>
        <w:spacing w:before="300" w:after="200"/>
        <w:rPr>
          <w:rFonts w:ascii="Arial" w:eastAsia="Arial" w:hAnsi="Arial" w:cs="Arial"/>
          <w:b/>
          <w:bCs/>
          <w:color w:val="0D2F5E"/>
          <w:sz w:val="28"/>
          <w:szCs w:val="28"/>
        </w:rPr>
      </w:pPr>
    </w:p>
    <w:p w14:paraId="486F2576" w14:textId="77777777" w:rsidR="00E67C80" w:rsidRDefault="00E67C80">
      <w:pPr>
        <w:spacing w:before="300" w:after="200"/>
        <w:rPr>
          <w:rFonts w:ascii="Arial" w:eastAsia="Arial" w:hAnsi="Arial" w:cs="Arial"/>
          <w:b/>
          <w:bCs/>
          <w:color w:val="0D2F5E"/>
          <w:sz w:val="28"/>
          <w:szCs w:val="28"/>
        </w:rPr>
      </w:pPr>
    </w:p>
    <w:p w14:paraId="06240502" w14:textId="77777777" w:rsidR="00E67C80" w:rsidRDefault="00E67C80">
      <w:pPr>
        <w:spacing w:before="300" w:after="200"/>
        <w:rPr>
          <w:rFonts w:ascii="Arial" w:eastAsia="Arial" w:hAnsi="Arial" w:cs="Arial"/>
          <w:b/>
          <w:bCs/>
          <w:color w:val="0D2F5E"/>
          <w:sz w:val="28"/>
          <w:szCs w:val="28"/>
        </w:rPr>
      </w:pPr>
    </w:p>
    <w:p w14:paraId="00ACD63E" w14:textId="77777777" w:rsidR="00E67C80" w:rsidRDefault="00E67C80">
      <w:pPr>
        <w:spacing w:before="300" w:after="200"/>
        <w:rPr>
          <w:rFonts w:ascii="Arial" w:eastAsia="Arial" w:hAnsi="Arial" w:cs="Arial"/>
          <w:b/>
          <w:bCs/>
          <w:color w:val="0D2F5E"/>
          <w:sz w:val="28"/>
          <w:szCs w:val="28"/>
        </w:rPr>
      </w:pPr>
    </w:p>
    <w:p w14:paraId="7EA73DBE" w14:textId="77777777" w:rsidR="00E67C80" w:rsidRDefault="00E67C80">
      <w:pPr>
        <w:spacing w:before="300" w:after="200"/>
        <w:rPr>
          <w:rFonts w:ascii="Arial" w:eastAsia="Arial" w:hAnsi="Arial" w:cs="Arial"/>
          <w:b/>
          <w:bCs/>
          <w:color w:val="0D2F5E"/>
          <w:sz w:val="28"/>
          <w:szCs w:val="28"/>
        </w:rPr>
      </w:pPr>
    </w:p>
    <w:p w14:paraId="0D0B5A80" w14:textId="77777777" w:rsidR="00E67C80" w:rsidRDefault="00E67C80">
      <w:pPr>
        <w:spacing w:before="300" w:after="200"/>
        <w:rPr>
          <w:rFonts w:ascii="Arial" w:eastAsia="Arial" w:hAnsi="Arial" w:cs="Arial"/>
          <w:b/>
          <w:bCs/>
          <w:color w:val="0D2F5E"/>
          <w:sz w:val="28"/>
          <w:szCs w:val="28"/>
        </w:rPr>
      </w:pPr>
    </w:p>
    <w:p w14:paraId="77E75FB6" w14:textId="77777777" w:rsidR="00E67C80" w:rsidRDefault="00E67C80">
      <w:pPr>
        <w:spacing w:before="300" w:after="200"/>
        <w:rPr>
          <w:rFonts w:ascii="Arial" w:eastAsia="Arial" w:hAnsi="Arial" w:cs="Arial"/>
          <w:b/>
          <w:bCs/>
          <w:color w:val="0D2F5E"/>
          <w:sz w:val="28"/>
          <w:szCs w:val="28"/>
        </w:rPr>
      </w:pPr>
    </w:p>
    <w:p w14:paraId="493EA84C" w14:textId="77777777" w:rsidR="00E67C80" w:rsidRDefault="00E67C80">
      <w:pPr>
        <w:spacing w:before="300" w:after="200"/>
        <w:rPr>
          <w:rFonts w:ascii="Arial" w:eastAsia="Arial" w:hAnsi="Arial" w:cs="Arial"/>
          <w:b/>
          <w:bCs/>
          <w:color w:val="0D2F5E"/>
          <w:sz w:val="28"/>
          <w:szCs w:val="28"/>
        </w:rPr>
      </w:pPr>
    </w:p>
    <w:p w14:paraId="3C1784B0" w14:textId="03CB36B2" w:rsidR="00C47D2B" w:rsidRDefault="00DD26A2">
      <w:pPr>
        <w:spacing w:before="300" w:after="200"/>
      </w:pPr>
      <w:r>
        <w:rPr>
          <w:rFonts w:ascii="Arial" w:eastAsia="Arial" w:hAnsi="Arial" w:cs="Arial"/>
          <w:b/>
          <w:bCs/>
          <w:color w:val="0D2F5E"/>
          <w:sz w:val="28"/>
          <w:szCs w:val="28"/>
        </w:rPr>
        <w:t>ANEXOS - REFERENCIAS Y ENLACES</w:t>
      </w:r>
    </w:p>
    <w:p w14:paraId="6D4A2C93" w14:textId="77777777" w:rsidR="00C47D2B" w:rsidRPr="00E67C80" w:rsidRDefault="00DD26A2">
      <w:pPr>
        <w:spacing w:after="200"/>
        <w:jc w:val="both"/>
        <w:rPr>
          <w:sz w:val="22"/>
          <w:szCs w:val="22"/>
        </w:rPr>
      </w:pPr>
      <w:r w:rsidRPr="00E67C80">
        <w:rPr>
          <w:rFonts w:ascii="Arial" w:eastAsia="Arial" w:hAnsi="Arial" w:cs="Arial"/>
          <w:i/>
          <w:iCs/>
          <w:sz w:val="22"/>
          <w:szCs w:val="22"/>
        </w:rPr>
        <w:t>(Numerados por orden de primera aparición en el texto)</w:t>
      </w:r>
    </w:p>
    <w:p w14:paraId="519CFF09" w14:textId="77777777" w:rsidR="00C47D2B" w:rsidRPr="00E67C80" w:rsidRDefault="00DD26A2">
      <w:pPr>
        <w:spacing w:before="100" w:after="100"/>
        <w:rPr>
          <w:sz w:val="22"/>
          <w:szCs w:val="22"/>
        </w:rPr>
      </w:pPr>
      <w:r w:rsidRPr="00E67C80">
        <w:rPr>
          <w:rFonts w:ascii="Arial" w:eastAsia="Arial" w:hAnsi="Arial" w:cs="Arial"/>
          <w:b/>
          <w:bCs/>
          <w:sz w:val="22"/>
          <w:szCs w:val="22"/>
        </w:rPr>
        <w:t>Anexo 1. Proyecto de Real Decreto sobre Vacunación Internacional - Consulta pública previa</w:t>
      </w:r>
    </w:p>
    <w:p w14:paraId="0EF0CB06" w14:textId="77777777" w:rsidR="00C47D2B" w:rsidRPr="00E67C80" w:rsidRDefault="00DD26A2">
      <w:pPr>
        <w:spacing w:after="160"/>
        <w:rPr>
          <w:sz w:val="22"/>
          <w:szCs w:val="22"/>
        </w:rPr>
      </w:pPr>
      <w:r w:rsidRPr="00E67C80">
        <w:rPr>
          <w:rFonts w:ascii="Arial" w:eastAsia="Arial" w:hAnsi="Arial" w:cs="Arial"/>
          <w:sz w:val="22"/>
          <w:szCs w:val="22"/>
        </w:rPr>
        <w:t xml:space="preserve">Página de consultas públicas previas del Ministerio de Sanidad: </w:t>
      </w:r>
      <w:hyperlink r:id="rId9" w:history="1">
        <w:r w:rsidRPr="00E67C80">
          <w:rPr>
            <w:rFonts w:ascii="Arial" w:eastAsia="Arial" w:hAnsi="Arial" w:cs="Arial"/>
            <w:color w:val="0563C1"/>
            <w:sz w:val="22"/>
            <w:szCs w:val="22"/>
            <w:u w:val="single"/>
          </w:rPr>
          <w:t>https://www.sanidad.gob.es/normativa/consultas/home.htm</w:t>
        </w:r>
      </w:hyperlink>
    </w:p>
    <w:p w14:paraId="46A954FC" w14:textId="77777777" w:rsidR="00C47D2B" w:rsidRPr="00E67C80" w:rsidRDefault="00DD26A2">
      <w:pPr>
        <w:spacing w:after="160"/>
        <w:rPr>
          <w:sz w:val="22"/>
          <w:szCs w:val="22"/>
        </w:rPr>
      </w:pPr>
      <w:r w:rsidRPr="00E67C80">
        <w:rPr>
          <w:rFonts w:ascii="Arial" w:eastAsia="Arial" w:hAnsi="Arial" w:cs="Arial"/>
          <w:sz w:val="22"/>
          <w:szCs w:val="22"/>
        </w:rPr>
        <w:t xml:space="preserve">Texto del proyecto normativo sometido a consulta (PDF): </w:t>
      </w:r>
      <w:hyperlink r:id="rId10" w:history="1">
        <w:r w:rsidRPr="00E67C80">
          <w:rPr>
            <w:rFonts w:ascii="Arial" w:eastAsia="Arial" w:hAnsi="Arial" w:cs="Arial"/>
            <w:color w:val="0563C1"/>
            <w:sz w:val="22"/>
            <w:szCs w:val="22"/>
            <w:u w:val="single"/>
          </w:rPr>
          <w:t>https://www.sanidad.gob.es/fr/normativa/docs/2026.07.31_CPP_PRD_Vacunacion_internacional.pdf</w:t>
        </w:r>
      </w:hyperlink>
    </w:p>
    <w:p w14:paraId="692E1D0A" w14:textId="77777777" w:rsidR="00C47D2B" w:rsidRPr="00E67C80" w:rsidRDefault="00DD26A2">
      <w:pPr>
        <w:spacing w:after="200"/>
        <w:jc w:val="both"/>
        <w:rPr>
          <w:sz w:val="22"/>
          <w:szCs w:val="22"/>
        </w:rPr>
      </w:pPr>
      <w:r w:rsidRPr="00E67C80">
        <w:rPr>
          <w:rFonts w:ascii="Arial" w:eastAsia="Arial" w:hAnsi="Arial" w:cs="Arial"/>
          <w:sz w:val="22"/>
          <w:szCs w:val="22"/>
        </w:rPr>
        <w:t>Plazo: 31 de julio a 7 de septiembre de 2026. Buzón: saniext@sanidad.gob.es.</w:t>
      </w:r>
    </w:p>
    <w:p w14:paraId="291CEC24" w14:textId="77777777" w:rsidR="00C47D2B" w:rsidRPr="00E67C80" w:rsidRDefault="00DD26A2">
      <w:pPr>
        <w:spacing w:before="200" w:after="100"/>
        <w:rPr>
          <w:sz w:val="22"/>
          <w:szCs w:val="22"/>
        </w:rPr>
      </w:pPr>
      <w:r w:rsidRPr="00E67C80">
        <w:rPr>
          <w:rFonts w:ascii="Arial" w:eastAsia="Arial" w:hAnsi="Arial" w:cs="Arial"/>
          <w:b/>
          <w:bCs/>
          <w:sz w:val="22"/>
          <w:szCs w:val="22"/>
        </w:rPr>
        <w:t>Anexo 2. Orden PRE/1590/2016, de 3 de octubre</w:t>
      </w:r>
    </w:p>
    <w:p w14:paraId="559BDCF2" w14:textId="4A4BFBCD" w:rsidR="00C47D2B" w:rsidRPr="00E67C80" w:rsidRDefault="00DD26A2">
      <w:pPr>
        <w:spacing w:after="160"/>
        <w:rPr>
          <w:rFonts w:ascii="Arial" w:eastAsia="Arial" w:hAnsi="Arial" w:cs="Arial"/>
          <w:color w:val="0563C1"/>
          <w:sz w:val="22"/>
          <w:szCs w:val="22"/>
          <w:u w:val="single"/>
        </w:rPr>
      </w:pPr>
      <w:r w:rsidRPr="00E67C80">
        <w:rPr>
          <w:rFonts w:ascii="Arial" w:eastAsia="Arial" w:hAnsi="Arial" w:cs="Arial"/>
          <w:sz w:val="22"/>
          <w:szCs w:val="22"/>
        </w:rPr>
        <w:t xml:space="preserve">Texto (BOE-A-2016-9121): </w:t>
      </w:r>
      <w:hyperlink r:id="rId11" w:history="1">
        <w:r w:rsidRPr="00E67C80">
          <w:rPr>
            <w:rFonts w:ascii="Arial" w:eastAsia="Arial" w:hAnsi="Arial" w:cs="Arial"/>
            <w:color w:val="0563C1"/>
            <w:sz w:val="22"/>
            <w:szCs w:val="22"/>
            <w:u w:val="single"/>
          </w:rPr>
          <w:t>https://www.boe.es/buscar/doc.php?id=BOE-A-2016-9121</w:t>
        </w:r>
      </w:hyperlink>
    </w:p>
    <w:p w14:paraId="23763869" w14:textId="77777777" w:rsidR="009079DA" w:rsidRPr="00E67C80" w:rsidRDefault="009079DA" w:rsidP="009079DA">
      <w:pPr>
        <w:spacing w:before="200" w:after="100"/>
        <w:rPr>
          <w:sz w:val="22"/>
          <w:szCs w:val="22"/>
        </w:rPr>
      </w:pPr>
      <w:r w:rsidRPr="00E67C80">
        <w:rPr>
          <w:rFonts w:ascii="Arial" w:eastAsia="Arial" w:hAnsi="Arial" w:cs="Arial"/>
          <w:b/>
          <w:bCs/>
          <w:sz w:val="22"/>
          <w:szCs w:val="22"/>
        </w:rPr>
        <w:t>Anexo 3. Ley 39/2015, del Procedimiento Administrativo Común</w:t>
      </w:r>
    </w:p>
    <w:p w14:paraId="095EDB68" w14:textId="77777777" w:rsidR="009079DA" w:rsidRPr="00E67C80" w:rsidRDefault="009079DA" w:rsidP="009079DA">
      <w:pPr>
        <w:spacing w:after="160"/>
        <w:rPr>
          <w:sz w:val="22"/>
          <w:szCs w:val="22"/>
        </w:rPr>
      </w:pPr>
      <w:r w:rsidRPr="00E67C80">
        <w:rPr>
          <w:rFonts w:ascii="Arial" w:eastAsia="Arial" w:hAnsi="Arial" w:cs="Arial"/>
          <w:sz w:val="22"/>
          <w:szCs w:val="22"/>
        </w:rPr>
        <w:t xml:space="preserve">Texto consolidado (BOE-A-2015-10565): </w:t>
      </w:r>
      <w:hyperlink r:id="rId12" w:history="1">
        <w:r w:rsidRPr="00E67C80">
          <w:rPr>
            <w:rFonts w:ascii="Arial" w:eastAsia="Arial" w:hAnsi="Arial" w:cs="Arial"/>
            <w:color w:val="0563C1"/>
            <w:sz w:val="22"/>
            <w:szCs w:val="22"/>
            <w:u w:val="single"/>
          </w:rPr>
          <w:t>https://www.boe.es/buscar/act.php?id=BOE-A-2015-10565</w:t>
        </w:r>
      </w:hyperlink>
    </w:p>
    <w:p w14:paraId="57780EC6" w14:textId="2B1FDD20" w:rsidR="00C47D2B" w:rsidRPr="00E67C80" w:rsidRDefault="00DD26A2">
      <w:pPr>
        <w:spacing w:before="200" w:after="100"/>
        <w:rPr>
          <w:sz w:val="22"/>
          <w:szCs w:val="22"/>
        </w:rPr>
      </w:pPr>
      <w:r w:rsidRPr="00E67C80">
        <w:rPr>
          <w:rFonts w:ascii="Arial" w:eastAsia="Arial" w:hAnsi="Arial" w:cs="Arial"/>
          <w:b/>
          <w:bCs/>
          <w:sz w:val="22"/>
          <w:szCs w:val="22"/>
        </w:rPr>
        <w:t>Anexo 4. Constitución Española, de 27 de diciembre de 1978</w:t>
      </w:r>
    </w:p>
    <w:p w14:paraId="33DB9A1F" w14:textId="77777777" w:rsidR="00C47D2B" w:rsidRPr="00E67C80" w:rsidRDefault="00DD26A2">
      <w:pPr>
        <w:spacing w:after="160"/>
        <w:rPr>
          <w:sz w:val="22"/>
          <w:szCs w:val="22"/>
        </w:rPr>
      </w:pPr>
      <w:r w:rsidRPr="00E67C80">
        <w:rPr>
          <w:rFonts w:ascii="Arial" w:eastAsia="Arial" w:hAnsi="Arial" w:cs="Arial"/>
          <w:sz w:val="22"/>
          <w:szCs w:val="22"/>
        </w:rPr>
        <w:t xml:space="preserve">Texto consolidado (BOE): </w:t>
      </w:r>
      <w:hyperlink r:id="rId13" w:history="1">
        <w:r w:rsidRPr="00E67C80">
          <w:rPr>
            <w:rFonts w:ascii="Arial" w:eastAsia="Arial" w:hAnsi="Arial" w:cs="Arial"/>
            <w:color w:val="0563C1"/>
            <w:sz w:val="22"/>
            <w:szCs w:val="22"/>
            <w:u w:val="single"/>
          </w:rPr>
          <w:t>https://www.boe.es/buscar/act.php?id=BOE-A-1978-31229</w:t>
        </w:r>
      </w:hyperlink>
    </w:p>
    <w:p w14:paraId="0AB46916" w14:textId="77777777" w:rsidR="00C47D2B" w:rsidRPr="00E67C80" w:rsidRDefault="00DD26A2">
      <w:pPr>
        <w:spacing w:after="200"/>
        <w:jc w:val="both"/>
        <w:rPr>
          <w:sz w:val="22"/>
          <w:szCs w:val="22"/>
        </w:rPr>
      </w:pPr>
      <w:r w:rsidRPr="00E67C80">
        <w:rPr>
          <w:rFonts w:ascii="Arial" w:eastAsia="Arial" w:hAnsi="Arial" w:cs="Arial"/>
          <w:sz w:val="22"/>
          <w:szCs w:val="22"/>
        </w:rPr>
        <w:t>Artículos citados: 18.4, 19 y 43.</w:t>
      </w:r>
    </w:p>
    <w:p w14:paraId="5A5A5A01" w14:textId="5A5A5A01" w:rsidR="00C47D2B" w:rsidRPr="00E67C80" w:rsidRDefault="00DD26A2">
      <w:pPr>
        <w:spacing w:before="200" w:after="100"/>
        <w:rPr>
          <w:sz w:val="22"/>
          <w:szCs w:val="22"/>
        </w:rPr>
      </w:pPr>
      <w:r w:rsidRPr="00E67C80">
        <w:rPr>
          <w:rFonts w:ascii="Arial" w:eastAsia="Arial" w:hAnsi="Arial" w:cs="Arial"/>
          <w:b/>
          <w:bCs/>
          <w:sz w:val="22"/>
          <w:szCs w:val="22"/>
        </w:rPr>
        <w:t>Anexo 5. STC 38/2023, de 20 de abril</w:t>
      </w:r>
    </w:p>
    <w:p w14:paraId="5A5A5A02" w14:textId="5A5A5A02" w:rsidR="00C47D2B" w:rsidRPr="00E67C80" w:rsidRDefault="00DD26A2">
      <w:pPr>
        <w:spacing w:after="160"/>
        <w:rPr>
          <w:sz w:val="22"/>
          <w:szCs w:val="22"/>
        </w:rPr>
      </w:pPr>
      <w:r w:rsidRPr="00E67C80">
        <w:rPr>
          <w:rFonts w:ascii="Arial" w:eastAsia="Arial" w:hAnsi="Arial" w:cs="Arial"/>
          <w:sz w:val="22"/>
          <w:szCs w:val="22"/>
        </w:rPr>
        <w:t xml:space="preserve">Texto (BOE-A-2023-12080): </w:t>
      </w:r>
      <w:r w:rsidRPr="00E67C80">
        <w:rPr>
          <w:rFonts w:ascii="Arial" w:eastAsia="Arial" w:hAnsi="Arial" w:cs="Arial"/>
          <w:color w:val="0563C1"/>
          <w:sz w:val="22"/>
          <w:szCs w:val="22"/>
          <w:u w:val="single"/>
        </w:rPr>
        <w:t>https://www.boe.es/diario_boe/txt.php?id=BOE-A-2023-12080</w:t>
      </w:r>
    </w:p>
    <w:p w14:paraId="6B6B6B01" w14:textId="6B6B6B01" w:rsidR="00C47D2B" w:rsidRPr="00E67C80" w:rsidRDefault="00DD26A2">
      <w:pPr>
        <w:spacing w:before="200" w:after="100"/>
        <w:rPr>
          <w:sz w:val="22"/>
          <w:szCs w:val="22"/>
        </w:rPr>
      </w:pPr>
      <w:r w:rsidRPr="00E67C80">
        <w:rPr>
          <w:rFonts w:ascii="Arial" w:eastAsia="Arial" w:hAnsi="Arial" w:cs="Arial"/>
          <w:b/>
          <w:bCs/>
          <w:sz w:val="22"/>
          <w:szCs w:val="22"/>
        </w:rPr>
        <w:t>Anexo 6. STC 148/2023, de 6 de noviembre</w:t>
      </w:r>
    </w:p>
    <w:p w14:paraId="6B6B6B02" w14:textId="6B6B6B02" w:rsidR="00C47D2B" w:rsidRPr="00E67C80" w:rsidRDefault="00DD26A2">
      <w:pPr>
        <w:spacing w:after="160"/>
        <w:rPr>
          <w:sz w:val="22"/>
          <w:szCs w:val="22"/>
        </w:rPr>
      </w:pPr>
      <w:r w:rsidRPr="00E67C80">
        <w:rPr>
          <w:rFonts w:ascii="Arial" w:eastAsia="Arial" w:hAnsi="Arial" w:cs="Arial"/>
          <w:sz w:val="22"/>
          <w:szCs w:val="22"/>
        </w:rPr>
        <w:t xml:space="preserve">Texto (BOE-A-2023-25630): </w:t>
      </w:r>
      <w:r w:rsidRPr="00E67C80">
        <w:rPr>
          <w:rFonts w:ascii="Arial" w:eastAsia="Arial" w:hAnsi="Arial" w:cs="Arial"/>
          <w:color w:val="0563C1"/>
          <w:sz w:val="22"/>
          <w:szCs w:val="22"/>
          <w:u w:val="single"/>
        </w:rPr>
        <w:t>https://www.boe.es/diario_boe/txt.php?id=BOE-A-2023-25630</w:t>
      </w:r>
    </w:p>
    <w:p w14:paraId="463031F4" w14:textId="1574C254" w:rsidR="00C47D2B" w:rsidRPr="00E67C80" w:rsidRDefault="00DD26A2">
      <w:pPr>
        <w:spacing w:before="200" w:after="100"/>
        <w:rPr>
          <w:sz w:val="22"/>
          <w:szCs w:val="22"/>
        </w:rPr>
      </w:pPr>
      <w:r w:rsidRPr="00E67C80">
        <w:rPr>
          <w:rFonts w:ascii="Arial" w:eastAsia="Arial" w:hAnsi="Arial" w:cs="Arial"/>
          <w:b/>
          <w:bCs/>
          <w:sz w:val="22"/>
          <w:szCs w:val="22"/>
        </w:rPr>
        <w:t>Anexo 7. Ley 41/2002, básica reguladora de la autonomía del paciente</w:t>
      </w:r>
    </w:p>
    <w:p w14:paraId="41F949FD" w14:textId="77777777" w:rsidR="00C47D2B" w:rsidRPr="00E67C80" w:rsidRDefault="00DD26A2">
      <w:pPr>
        <w:spacing w:after="160"/>
        <w:rPr>
          <w:sz w:val="22"/>
          <w:szCs w:val="22"/>
        </w:rPr>
      </w:pPr>
      <w:r w:rsidRPr="00E67C80">
        <w:rPr>
          <w:rFonts w:ascii="Arial" w:eastAsia="Arial" w:hAnsi="Arial" w:cs="Arial"/>
          <w:sz w:val="22"/>
          <w:szCs w:val="22"/>
        </w:rPr>
        <w:t xml:space="preserve">Texto consolidado (BOE-A-2002-22188): </w:t>
      </w:r>
      <w:hyperlink r:id="rId14" w:history="1">
        <w:r w:rsidRPr="00E67C80">
          <w:rPr>
            <w:rFonts w:ascii="Arial" w:eastAsia="Arial" w:hAnsi="Arial" w:cs="Arial"/>
            <w:color w:val="0563C1"/>
            <w:sz w:val="22"/>
            <w:szCs w:val="22"/>
            <w:u w:val="single"/>
          </w:rPr>
          <w:t>https://www.boe.es/buscar/act.php?id=BOE-A-2002-22188</w:t>
        </w:r>
      </w:hyperlink>
    </w:p>
    <w:p w14:paraId="13983B6A" w14:textId="5457157F" w:rsidR="00C47D2B" w:rsidRPr="00E67C80" w:rsidRDefault="00DD26A2">
      <w:pPr>
        <w:spacing w:before="200" w:after="100"/>
        <w:rPr>
          <w:sz w:val="22"/>
          <w:szCs w:val="22"/>
        </w:rPr>
      </w:pPr>
      <w:r w:rsidRPr="00E67C80">
        <w:rPr>
          <w:rFonts w:ascii="Arial" w:eastAsia="Arial" w:hAnsi="Arial" w:cs="Arial"/>
          <w:b/>
          <w:bCs/>
          <w:sz w:val="22"/>
          <w:szCs w:val="22"/>
        </w:rPr>
        <w:t>Anexo 8. Ley 33/2011, General de Salud Pública</w:t>
      </w:r>
    </w:p>
    <w:p w14:paraId="522C1671" w14:textId="77777777" w:rsidR="00C47D2B" w:rsidRPr="00E67C80" w:rsidRDefault="00DD26A2">
      <w:pPr>
        <w:spacing w:after="160"/>
        <w:rPr>
          <w:sz w:val="22"/>
          <w:szCs w:val="22"/>
        </w:rPr>
      </w:pPr>
      <w:r w:rsidRPr="00E67C80">
        <w:rPr>
          <w:rFonts w:ascii="Arial" w:eastAsia="Arial" w:hAnsi="Arial" w:cs="Arial"/>
          <w:sz w:val="22"/>
          <w:szCs w:val="22"/>
        </w:rPr>
        <w:t xml:space="preserve">Texto consolidado (BOE-A-2011-15623): </w:t>
      </w:r>
      <w:hyperlink r:id="rId15" w:history="1">
        <w:r w:rsidRPr="00E67C80">
          <w:rPr>
            <w:rFonts w:ascii="Arial" w:eastAsia="Arial" w:hAnsi="Arial" w:cs="Arial"/>
            <w:color w:val="0563C1"/>
            <w:sz w:val="22"/>
            <w:szCs w:val="22"/>
            <w:u w:val="single"/>
          </w:rPr>
          <w:t>https://www.boe.es/buscar/act.php?id=BOE-A-2011-15623</w:t>
        </w:r>
      </w:hyperlink>
    </w:p>
    <w:p w14:paraId="1C1C9C01" w14:textId="1C1C9C01" w:rsidR="00C47D2B" w:rsidRPr="00E67C80" w:rsidRDefault="00DD26A2">
      <w:pPr>
        <w:spacing w:before="200" w:after="100"/>
        <w:rPr>
          <w:sz w:val="22"/>
          <w:szCs w:val="22"/>
        </w:rPr>
      </w:pPr>
      <w:r w:rsidRPr="00E67C80">
        <w:rPr>
          <w:rFonts w:ascii="Arial" w:eastAsia="Arial" w:hAnsi="Arial" w:cs="Arial"/>
          <w:b/>
          <w:bCs/>
          <w:sz w:val="22"/>
          <w:szCs w:val="22"/>
        </w:rPr>
        <w:t>Anexo 9. Convenio de Oviedo, de 4 de abril de 1997 (ratificado por España)</w:t>
      </w:r>
    </w:p>
    <w:p w14:paraId="1C1C9C02" w14:textId="1C1C9C02" w:rsidR="00C47D2B" w:rsidRPr="00E67C80" w:rsidRDefault="00DD26A2">
      <w:pPr>
        <w:spacing w:after="160"/>
        <w:rPr>
          <w:sz w:val="22"/>
          <w:szCs w:val="22"/>
        </w:rPr>
      </w:pPr>
      <w:r w:rsidRPr="00E67C80">
        <w:rPr>
          <w:rFonts w:ascii="Arial" w:eastAsia="Arial" w:hAnsi="Arial" w:cs="Arial"/>
          <w:sz w:val="22"/>
          <w:szCs w:val="22"/>
        </w:rPr>
        <w:t xml:space="preserve">Instrumento de Ratificación (BOE-A-1999-20638): </w:t>
      </w:r>
      <w:r w:rsidRPr="00E67C80">
        <w:rPr>
          <w:rFonts w:ascii="Arial" w:eastAsia="Arial" w:hAnsi="Arial" w:cs="Arial"/>
          <w:color w:val="0563C1"/>
          <w:sz w:val="22"/>
          <w:szCs w:val="22"/>
          <w:u w:val="single"/>
        </w:rPr>
        <w:t>https://www.boe.es/buscar/doc.php?id=BOE-A-1999-20638</w:t>
      </w:r>
    </w:p>
    <w:p w14:paraId="411733C5" w14:textId="77777777" w:rsidR="00C47D2B" w:rsidRPr="00E67C80" w:rsidRDefault="00DD26A2">
      <w:pPr>
        <w:spacing w:before="200" w:after="100"/>
        <w:rPr>
          <w:sz w:val="22"/>
          <w:szCs w:val="22"/>
        </w:rPr>
      </w:pPr>
      <w:r w:rsidRPr="00E67C80">
        <w:rPr>
          <w:rFonts w:ascii="Arial" w:eastAsia="Arial" w:hAnsi="Arial" w:cs="Arial"/>
          <w:b/>
          <w:bCs/>
          <w:sz w:val="22"/>
          <w:szCs w:val="22"/>
        </w:rPr>
        <w:t>Anexo 10. Ley 50/1997, del Gobierno</w:t>
      </w:r>
    </w:p>
    <w:p w14:paraId="3229D7CC" w14:textId="77777777" w:rsidR="00C47D2B" w:rsidRPr="00E67C80" w:rsidRDefault="00DD26A2">
      <w:pPr>
        <w:spacing w:after="160"/>
        <w:rPr>
          <w:sz w:val="22"/>
          <w:szCs w:val="22"/>
        </w:rPr>
      </w:pPr>
      <w:r w:rsidRPr="00E67C80">
        <w:rPr>
          <w:rFonts w:ascii="Arial" w:eastAsia="Arial" w:hAnsi="Arial" w:cs="Arial"/>
          <w:sz w:val="22"/>
          <w:szCs w:val="22"/>
        </w:rPr>
        <w:t xml:space="preserve">Texto consolidado (BOE-A-1997-25336): </w:t>
      </w:r>
      <w:hyperlink r:id="rId16" w:history="1">
        <w:r w:rsidRPr="00E67C80">
          <w:rPr>
            <w:rFonts w:ascii="Arial" w:eastAsia="Arial" w:hAnsi="Arial" w:cs="Arial"/>
            <w:color w:val="0563C1"/>
            <w:sz w:val="22"/>
            <w:szCs w:val="22"/>
            <w:u w:val="single"/>
          </w:rPr>
          <w:t>https://www.boe.es/buscar/act.php?id=BOE-A-1997-25336</w:t>
        </w:r>
      </w:hyperlink>
    </w:p>
    <w:p w14:paraId="1D1D1D01" w14:textId="1D1D1D01" w:rsidR="00C47D2B" w:rsidRPr="00E67C80" w:rsidRDefault="00DD26A2">
      <w:pPr>
        <w:spacing w:before="200" w:after="100"/>
        <w:rPr>
          <w:sz w:val="22"/>
          <w:szCs w:val="22"/>
        </w:rPr>
      </w:pPr>
      <w:r w:rsidRPr="00E67C80">
        <w:rPr>
          <w:rFonts w:ascii="Arial" w:eastAsia="Arial" w:hAnsi="Arial" w:cs="Arial"/>
          <w:b/>
          <w:bCs/>
          <w:sz w:val="22"/>
          <w:szCs w:val="22"/>
        </w:rPr>
        <w:t>Anexo 11. STC 136/2024, de 5 de noviembre</w:t>
      </w:r>
    </w:p>
    <w:p w14:paraId="1D1D1D02" w14:textId="1D1D1D02" w:rsidR="00C47D2B" w:rsidRPr="00E67C80" w:rsidRDefault="00DD26A2">
      <w:pPr>
        <w:spacing w:after="160"/>
        <w:rPr>
          <w:sz w:val="22"/>
          <w:szCs w:val="22"/>
        </w:rPr>
      </w:pPr>
      <w:r w:rsidRPr="00E67C80">
        <w:rPr>
          <w:rFonts w:ascii="Arial" w:eastAsia="Arial" w:hAnsi="Arial" w:cs="Arial"/>
          <w:sz w:val="22"/>
          <w:szCs w:val="22"/>
        </w:rPr>
        <w:t xml:space="preserve">Texto (BOE-A-2024-25519): </w:t>
      </w:r>
      <w:r w:rsidRPr="00E67C80">
        <w:rPr>
          <w:rFonts w:ascii="Arial" w:eastAsia="Arial" w:hAnsi="Arial" w:cs="Arial"/>
          <w:color w:val="0563C1"/>
          <w:sz w:val="22"/>
          <w:szCs w:val="22"/>
          <w:u w:val="single"/>
        </w:rPr>
        <w:t>https://www.boe.es/diario_boe/txt.php?id=BOE-A-2024-25519</w:t>
      </w:r>
    </w:p>
    <w:p w14:paraId="68125395" w14:textId="09C10CE3" w:rsidR="00C47D2B" w:rsidRPr="00E67C80" w:rsidRDefault="00DD26A2">
      <w:pPr>
        <w:spacing w:before="200" w:after="100"/>
        <w:rPr>
          <w:sz w:val="22"/>
          <w:szCs w:val="22"/>
        </w:rPr>
      </w:pPr>
      <w:r w:rsidRPr="00E67C80">
        <w:rPr>
          <w:rFonts w:ascii="Arial" w:eastAsia="Arial" w:hAnsi="Arial" w:cs="Arial"/>
          <w:b/>
          <w:bCs/>
          <w:sz w:val="22"/>
          <w:szCs w:val="22"/>
        </w:rPr>
        <w:t>Anexo 12. Reglamento Sanitario Internacional (2005), OMS</w:t>
      </w:r>
    </w:p>
    <w:p w14:paraId="221D7843" w14:textId="77777777" w:rsidR="00C47D2B" w:rsidRPr="00E67C80" w:rsidRDefault="00DD26A2">
      <w:pPr>
        <w:spacing w:after="160"/>
        <w:rPr>
          <w:sz w:val="22"/>
          <w:szCs w:val="22"/>
        </w:rPr>
      </w:pPr>
      <w:r w:rsidRPr="00E67C80">
        <w:rPr>
          <w:rFonts w:ascii="Arial" w:eastAsia="Arial" w:hAnsi="Arial" w:cs="Arial"/>
          <w:sz w:val="22"/>
          <w:szCs w:val="22"/>
        </w:rPr>
        <w:t xml:space="preserve">Texto oficial (Ministerio de Sanidad): </w:t>
      </w:r>
      <w:hyperlink r:id="rId17" w:history="1">
        <w:r w:rsidRPr="00E67C80">
          <w:rPr>
            <w:rFonts w:ascii="Arial" w:eastAsia="Arial" w:hAnsi="Arial" w:cs="Arial"/>
            <w:color w:val="0563C1"/>
            <w:sz w:val="22"/>
            <w:szCs w:val="22"/>
            <w:u w:val="single"/>
          </w:rPr>
          <w:t>https://www.sanidad.gob.es/en/profesionales/saludPublica/sanidadExterior/RSI/Pdf/RSI_2005.pdf</w:t>
        </w:r>
      </w:hyperlink>
    </w:p>
    <w:p w14:paraId="0A486EAD" w14:textId="7FBF9C83" w:rsidR="00C47D2B" w:rsidRPr="00E67C80" w:rsidRDefault="00DD26A2">
      <w:pPr>
        <w:spacing w:before="200" w:after="100"/>
        <w:rPr>
          <w:sz w:val="22"/>
          <w:szCs w:val="22"/>
        </w:rPr>
      </w:pPr>
      <w:r w:rsidRPr="00E67C80">
        <w:rPr>
          <w:rFonts w:ascii="Arial" w:eastAsia="Arial" w:hAnsi="Arial" w:cs="Arial"/>
          <w:b/>
          <w:bCs/>
          <w:sz w:val="22"/>
          <w:szCs w:val="22"/>
        </w:rPr>
        <w:t>Anexo 13. Ley Orgánica 3/1986, de Medidas Especiales en Materia de Salud Pública</w:t>
      </w:r>
    </w:p>
    <w:p w14:paraId="17CA93DB" w14:textId="77777777" w:rsidR="00C47D2B" w:rsidRPr="00E67C80" w:rsidRDefault="00DD26A2">
      <w:pPr>
        <w:spacing w:after="160"/>
        <w:rPr>
          <w:sz w:val="22"/>
          <w:szCs w:val="22"/>
        </w:rPr>
      </w:pPr>
      <w:r w:rsidRPr="00E67C80">
        <w:rPr>
          <w:rFonts w:ascii="Arial" w:eastAsia="Arial" w:hAnsi="Arial" w:cs="Arial"/>
          <w:sz w:val="22"/>
          <w:szCs w:val="22"/>
        </w:rPr>
        <w:t xml:space="preserve">Texto consolidado (BOE-A-1986-10498): </w:t>
      </w:r>
      <w:hyperlink r:id="rId18" w:history="1">
        <w:r w:rsidRPr="00E67C80">
          <w:rPr>
            <w:rFonts w:ascii="Arial" w:eastAsia="Arial" w:hAnsi="Arial" w:cs="Arial"/>
            <w:color w:val="0563C1"/>
            <w:sz w:val="22"/>
            <w:szCs w:val="22"/>
            <w:u w:val="single"/>
          </w:rPr>
          <w:t>https://www.boe.es/buscar/act.php?id=BOE-A-1986-10498</w:t>
        </w:r>
      </w:hyperlink>
    </w:p>
    <w:p w14:paraId="5196E417" w14:textId="77777777" w:rsidR="00C47D2B" w:rsidRPr="00E67C80" w:rsidRDefault="00DD26A2">
      <w:pPr>
        <w:spacing w:before="200" w:after="100"/>
        <w:rPr>
          <w:sz w:val="22"/>
          <w:szCs w:val="22"/>
        </w:rPr>
      </w:pPr>
      <w:r w:rsidRPr="00E67C80">
        <w:rPr>
          <w:rFonts w:ascii="Arial" w:eastAsia="Arial" w:hAnsi="Arial" w:cs="Arial"/>
          <w:b/>
          <w:bCs/>
          <w:sz w:val="22"/>
          <w:szCs w:val="22"/>
        </w:rPr>
        <w:t>Anexo 14. Reglamento (UE) 2016/679, RGPD</w:t>
      </w:r>
    </w:p>
    <w:p w14:paraId="24B934A7" w14:textId="77777777" w:rsidR="00C47D2B" w:rsidRPr="00E67C80" w:rsidRDefault="00DD26A2">
      <w:pPr>
        <w:spacing w:after="160"/>
        <w:rPr>
          <w:sz w:val="22"/>
          <w:szCs w:val="22"/>
        </w:rPr>
      </w:pPr>
      <w:r w:rsidRPr="00E67C80">
        <w:rPr>
          <w:rFonts w:ascii="Arial" w:eastAsia="Arial" w:hAnsi="Arial" w:cs="Arial"/>
          <w:sz w:val="22"/>
          <w:szCs w:val="22"/>
        </w:rPr>
        <w:t xml:space="preserve">Texto (EUR-Lex): </w:t>
      </w:r>
      <w:hyperlink r:id="rId19" w:history="1">
        <w:r w:rsidRPr="00E67C80">
          <w:rPr>
            <w:rFonts w:ascii="Arial" w:eastAsia="Arial" w:hAnsi="Arial" w:cs="Arial"/>
            <w:color w:val="0563C1"/>
            <w:sz w:val="22"/>
            <w:szCs w:val="22"/>
            <w:u w:val="single"/>
          </w:rPr>
          <w:t>https://eur-lex.europa.eu/legal-content/ES/TXT/?uri=CELEX:32016R0679</w:t>
        </w:r>
      </w:hyperlink>
    </w:p>
    <w:p w14:paraId="7025AC87" w14:textId="77777777" w:rsidR="00C47D2B" w:rsidRPr="00E67C80" w:rsidRDefault="00DD26A2">
      <w:pPr>
        <w:spacing w:before="200" w:after="100"/>
        <w:rPr>
          <w:sz w:val="22"/>
          <w:szCs w:val="22"/>
        </w:rPr>
      </w:pPr>
      <w:r w:rsidRPr="00E67C80">
        <w:rPr>
          <w:rFonts w:ascii="Arial" w:eastAsia="Arial" w:hAnsi="Arial" w:cs="Arial"/>
          <w:b/>
          <w:bCs/>
          <w:sz w:val="22"/>
          <w:szCs w:val="22"/>
        </w:rPr>
        <w:t>Anexo 15. Ley Orgánica 3/2018, de Protección de Datos Personales</w:t>
      </w:r>
    </w:p>
    <w:p w14:paraId="7058AA48" w14:textId="77777777" w:rsidR="00C47D2B" w:rsidRPr="00E67C80" w:rsidRDefault="00DD26A2">
      <w:pPr>
        <w:spacing w:after="160"/>
        <w:rPr>
          <w:sz w:val="22"/>
          <w:szCs w:val="22"/>
        </w:rPr>
      </w:pPr>
      <w:r w:rsidRPr="00E67C80">
        <w:rPr>
          <w:rFonts w:ascii="Arial" w:eastAsia="Arial" w:hAnsi="Arial" w:cs="Arial"/>
          <w:sz w:val="22"/>
          <w:szCs w:val="22"/>
        </w:rPr>
        <w:t xml:space="preserve">Texto consolidado (BOE-A-2018-16673): </w:t>
      </w:r>
      <w:hyperlink r:id="rId20" w:history="1">
        <w:r w:rsidRPr="00E67C80">
          <w:rPr>
            <w:rFonts w:ascii="Arial" w:eastAsia="Arial" w:hAnsi="Arial" w:cs="Arial"/>
            <w:color w:val="0563C1"/>
            <w:sz w:val="22"/>
            <w:szCs w:val="22"/>
            <w:u w:val="single"/>
          </w:rPr>
          <w:t>https://www.boe.es/buscar/act.php?id=BOE-A-2018-16673</w:t>
        </w:r>
      </w:hyperlink>
    </w:p>
    <w:p w14:paraId="14897416" w14:textId="77777777" w:rsidR="00C47D2B" w:rsidRPr="00E67C80" w:rsidRDefault="00DD26A2">
      <w:pPr>
        <w:spacing w:before="200" w:after="100"/>
        <w:rPr>
          <w:sz w:val="22"/>
          <w:szCs w:val="22"/>
        </w:rPr>
      </w:pPr>
      <w:r w:rsidRPr="00E67C80">
        <w:rPr>
          <w:rFonts w:ascii="Arial" w:eastAsia="Arial" w:hAnsi="Arial" w:cs="Arial"/>
          <w:b/>
          <w:bCs/>
          <w:sz w:val="22"/>
          <w:szCs w:val="22"/>
        </w:rPr>
        <w:t>Anexo 16. Reglamento (UE) 2025/327, Espacio Europeo de Datos de Salud</w:t>
      </w:r>
    </w:p>
    <w:p w14:paraId="78372111" w14:textId="77777777" w:rsidR="00C47D2B" w:rsidRPr="00E67C80" w:rsidRDefault="00DD26A2">
      <w:pPr>
        <w:spacing w:after="160"/>
        <w:rPr>
          <w:sz w:val="22"/>
          <w:szCs w:val="22"/>
        </w:rPr>
      </w:pPr>
      <w:r w:rsidRPr="00E67C80">
        <w:rPr>
          <w:rFonts w:ascii="Arial" w:eastAsia="Arial" w:hAnsi="Arial" w:cs="Arial"/>
          <w:sz w:val="22"/>
          <w:szCs w:val="22"/>
        </w:rPr>
        <w:t xml:space="preserve">Texto (EUR-Lex): </w:t>
      </w:r>
      <w:hyperlink r:id="rId21" w:history="1">
        <w:r w:rsidRPr="00E67C80">
          <w:rPr>
            <w:rFonts w:ascii="Arial" w:eastAsia="Arial" w:hAnsi="Arial" w:cs="Arial"/>
            <w:color w:val="0563C1"/>
            <w:sz w:val="22"/>
            <w:szCs w:val="22"/>
            <w:u w:val="single"/>
          </w:rPr>
          <w:t>https://eur-lex.europa.eu/legal-content/es/ALL/?uri=CELEX%3A32025R0327</w:t>
        </w:r>
      </w:hyperlink>
    </w:p>
    <w:p w14:paraId="75FC8801" w14:textId="77777777" w:rsidR="00C47D2B" w:rsidRPr="00E67C80" w:rsidRDefault="00DD26A2">
      <w:pPr>
        <w:spacing w:before="200" w:after="100"/>
        <w:rPr>
          <w:sz w:val="22"/>
          <w:szCs w:val="22"/>
        </w:rPr>
      </w:pPr>
      <w:r w:rsidRPr="00E67C80">
        <w:rPr>
          <w:rFonts w:ascii="Arial" w:eastAsia="Arial" w:hAnsi="Arial" w:cs="Arial"/>
          <w:b/>
          <w:bCs/>
          <w:sz w:val="22"/>
          <w:szCs w:val="22"/>
        </w:rPr>
        <w:t>Anexo 17. Real Decreto Legislativo 1/2015 (texto refundido de garantías y uso racional de los medicamentos)</w:t>
      </w:r>
    </w:p>
    <w:p w14:paraId="7409C1BD" w14:textId="77777777" w:rsidR="00C47D2B" w:rsidRPr="00E67C80" w:rsidRDefault="00DD26A2">
      <w:pPr>
        <w:spacing w:after="160"/>
        <w:rPr>
          <w:sz w:val="22"/>
          <w:szCs w:val="22"/>
        </w:rPr>
      </w:pPr>
      <w:r w:rsidRPr="00E67C80">
        <w:rPr>
          <w:rFonts w:ascii="Arial" w:eastAsia="Arial" w:hAnsi="Arial" w:cs="Arial"/>
          <w:sz w:val="22"/>
          <w:szCs w:val="22"/>
        </w:rPr>
        <w:t xml:space="preserve">Texto refundido (BOE-A-2015-8343): </w:t>
      </w:r>
      <w:hyperlink r:id="rId22" w:history="1">
        <w:r w:rsidRPr="00E67C80">
          <w:rPr>
            <w:rFonts w:ascii="Arial" w:eastAsia="Arial" w:hAnsi="Arial" w:cs="Arial"/>
            <w:color w:val="0563C1"/>
            <w:sz w:val="22"/>
            <w:szCs w:val="22"/>
            <w:u w:val="single"/>
          </w:rPr>
          <w:t>https://www.boe.es/buscar/act.php?id=BOE-A-2015-8343</w:t>
        </w:r>
      </w:hyperlink>
    </w:p>
    <w:p w14:paraId="75FC8802" w14:textId="77777777" w:rsidR="00C47D2B" w:rsidRPr="00E67C80" w:rsidRDefault="00DD26A2">
      <w:pPr>
        <w:spacing w:before="200" w:after="100"/>
        <w:rPr>
          <w:sz w:val="22"/>
          <w:szCs w:val="22"/>
        </w:rPr>
      </w:pPr>
      <w:r w:rsidRPr="00E67C80">
        <w:rPr>
          <w:rFonts w:ascii="Arial" w:eastAsia="Arial" w:hAnsi="Arial" w:cs="Arial"/>
          <w:b/>
          <w:bCs/>
          <w:sz w:val="22"/>
          <w:szCs w:val="22"/>
        </w:rPr>
        <w:t>Anexo 18. Real Decreto 577/2013, de farmacovigilancia de medicamentos de uso humano</w:t>
      </w:r>
    </w:p>
    <w:p w14:paraId="355A6646" w14:textId="77777777" w:rsidR="00C47D2B" w:rsidRPr="00E67C80" w:rsidRDefault="00DD26A2">
      <w:pPr>
        <w:spacing w:after="160"/>
        <w:rPr>
          <w:sz w:val="22"/>
          <w:szCs w:val="22"/>
        </w:rPr>
      </w:pPr>
      <w:r w:rsidRPr="00E67C80">
        <w:rPr>
          <w:rFonts w:ascii="Arial" w:eastAsia="Arial" w:hAnsi="Arial" w:cs="Arial"/>
          <w:sz w:val="22"/>
          <w:szCs w:val="22"/>
        </w:rPr>
        <w:t xml:space="preserve">RD 577/2013 (BOE-A-2013-8191): </w:t>
      </w:r>
      <w:hyperlink r:id="rId23" w:history="1">
        <w:r w:rsidRPr="00E67C80">
          <w:rPr>
            <w:rFonts w:ascii="Arial" w:eastAsia="Arial" w:hAnsi="Arial" w:cs="Arial"/>
            <w:color w:val="0563C1"/>
            <w:sz w:val="22"/>
            <w:szCs w:val="22"/>
            <w:u w:val="single"/>
          </w:rPr>
          <w:t>https://www.boe.es/buscar/act.php?id=BOE-A-2013-8191</w:t>
        </w:r>
      </w:hyperlink>
    </w:p>
    <w:p w14:paraId="5F9B62DA" w14:textId="77777777" w:rsidR="00C47D2B" w:rsidRPr="00E67C80" w:rsidRDefault="00DD26A2">
      <w:pPr>
        <w:spacing w:before="200" w:after="100"/>
        <w:rPr>
          <w:sz w:val="22"/>
          <w:szCs w:val="22"/>
        </w:rPr>
      </w:pPr>
      <w:r w:rsidRPr="00E67C80">
        <w:rPr>
          <w:rFonts w:ascii="Arial" w:eastAsia="Arial" w:hAnsi="Arial" w:cs="Arial"/>
          <w:b/>
          <w:bCs/>
          <w:sz w:val="22"/>
          <w:szCs w:val="22"/>
        </w:rPr>
        <w:t>Anexo 19. Ley 40/2015, de Régimen Jurídico del Sector Público</w:t>
      </w:r>
    </w:p>
    <w:p w14:paraId="5F9B6201" w14:textId="5F9B6201" w:rsidR="00C47D2B" w:rsidRPr="00E67C80" w:rsidRDefault="00DD26A2">
      <w:pPr>
        <w:spacing w:after="160"/>
        <w:rPr>
          <w:sz w:val="22"/>
          <w:szCs w:val="22"/>
        </w:rPr>
      </w:pPr>
      <w:r w:rsidRPr="00E67C80">
        <w:rPr>
          <w:rFonts w:ascii="Arial" w:eastAsia="Arial" w:hAnsi="Arial" w:cs="Arial"/>
          <w:sz w:val="22"/>
          <w:szCs w:val="22"/>
        </w:rPr>
        <w:t xml:space="preserve">Texto consolidado (BOE-A-2015-10566): </w:t>
      </w:r>
      <w:hyperlink r:id="rId24" w:history="1">
        <w:r w:rsidRPr="00E67C80">
          <w:rPr>
            <w:rFonts w:ascii="Arial" w:eastAsia="Arial" w:hAnsi="Arial" w:cs="Arial"/>
            <w:color w:val="0563C1"/>
            <w:sz w:val="22"/>
            <w:szCs w:val="22"/>
            <w:u w:val="single"/>
          </w:rPr>
          <w:t>https://www.boe.es/buscar/act.php?id=BOE-A-2015-10566</w:t>
        </w:r>
      </w:hyperlink>
    </w:p>
    <w:p w14:paraId="5F9B62DB" w14:textId="5F9B62DB" w:rsidR="00C47D2B" w:rsidRPr="00E67C80" w:rsidRDefault="00DD26A2">
      <w:pPr>
        <w:spacing w:before="200" w:after="100"/>
        <w:rPr>
          <w:sz w:val="22"/>
          <w:szCs w:val="22"/>
        </w:rPr>
      </w:pPr>
      <w:r w:rsidRPr="00E67C80">
        <w:rPr>
          <w:rFonts w:ascii="Arial" w:eastAsia="Arial" w:hAnsi="Arial" w:cs="Arial"/>
          <w:b/>
          <w:bCs/>
          <w:sz w:val="22"/>
          <w:szCs w:val="22"/>
        </w:rPr>
        <w:t>Anexo 20. Registro Electrónico General (REG-AGE)</w:t>
      </w:r>
    </w:p>
    <w:p w14:paraId="672C2E18" w14:textId="4AE67E2F" w:rsidR="00C47D2B" w:rsidRPr="00E67C80" w:rsidRDefault="00DD26A2">
      <w:pPr>
        <w:spacing w:after="160"/>
        <w:rPr>
          <w:rFonts w:ascii="Arial" w:eastAsia="Arial" w:hAnsi="Arial" w:cs="Arial"/>
          <w:color w:val="0563C1"/>
          <w:sz w:val="22"/>
          <w:szCs w:val="22"/>
          <w:u w:val="single"/>
        </w:rPr>
      </w:pPr>
      <w:r w:rsidRPr="00E67C80">
        <w:rPr>
          <w:rFonts w:ascii="Arial" w:eastAsia="Arial" w:hAnsi="Arial" w:cs="Arial"/>
          <w:sz w:val="22"/>
          <w:szCs w:val="22"/>
        </w:rPr>
        <w:t xml:space="preserve">Acceso al Registro Electrónico General (requiere certificado digital o Cl@ve; seleccionar como destinatario el Ministerio de Sanidad): </w:t>
      </w:r>
      <w:hyperlink r:id="rId25" w:history="1">
        <w:r w:rsidRPr="00E67C80">
          <w:rPr>
            <w:rFonts w:ascii="Arial" w:eastAsia="Arial" w:hAnsi="Arial" w:cs="Arial"/>
            <w:color w:val="0563C1"/>
            <w:sz w:val="22"/>
            <w:szCs w:val="22"/>
            <w:u w:val="single"/>
          </w:rPr>
          <w:t>https://reg.redsara.es/es/</w:t>
        </w:r>
      </w:hyperlink>
    </w:p>
    <w:p w14:paraId="07839E54" w14:textId="5F5DBA68" w:rsidR="00E67C80" w:rsidRPr="00E67C80" w:rsidRDefault="00E67C80">
      <w:pPr>
        <w:spacing w:after="160"/>
        <w:rPr>
          <w:rFonts w:ascii="Arial" w:eastAsia="Arial" w:hAnsi="Arial" w:cs="Arial"/>
          <w:color w:val="0563C1"/>
          <w:sz w:val="22"/>
          <w:szCs w:val="22"/>
          <w:u w:val="single"/>
        </w:rPr>
      </w:pPr>
    </w:p>
    <w:p w14:paraId="29C502F8" w14:textId="060FC01C" w:rsidR="00E67C80" w:rsidRDefault="00E67C80">
      <w:pPr>
        <w:spacing w:after="160"/>
        <w:rPr>
          <w:rFonts w:ascii="Arial" w:eastAsia="Arial" w:hAnsi="Arial" w:cs="Arial"/>
          <w:color w:val="0563C1"/>
          <w:sz w:val="28"/>
          <w:szCs w:val="28"/>
          <w:u w:val="single"/>
        </w:rPr>
      </w:pPr>
    </w:p>
    <w:p w14:paraId="2549A7BF" w14:textId="66A9438C" w:rsidR="00E67C80" w:rsidRPr="00E67C80" w:rsidRDefault="00E67C80">
      <w:pPr>
        <w:spacing w:after="160"/>
        <w:rPr>
          <w:rFonts w:ascii="Arial" w:eastAsia="Arial" w:hAnsi="Arial" w:cs="Arial"/>
          <w:b/>
          <w:bCs/>
          <w:sz w:val="28"/>
          <w:szCs w:val="28"/>
        </w:rPr>
      </w:pPr>
      <w:r w:rsidRPr="00E67C80">
        <w:rPr>
          <w:rFonts w:ascii="Arial" w:eastAsia="Arial" w:hAnsi="Arial" w:cs="Arial"/>
          <w:b/>
          <w:bCs/>
          <w:sz w:val="28"/>
          <w:szCs w:val="28"/>
        </w:rPr>
        <w:t>En                         a   de septiembre de 2026</w:t>
      </w:r>
    </w:p>
    <w:p w14:paraId="06913465" w14:textId="0B93B4B3" w:rsidR="00E67C80" w:rsidRPr="00E67C80" w:rsidRDefault="00E67C80">
      <w:pPr>
        <w:spacing w:after="160"/>
        <w:rPr>
          <w:rFonts w:ascii="Arial" w:eastAsia="Arial" w:hAnsi="Arial" w:cs="Arial"/>
          <w:b/>
          <w:bCs/>
          <w:sz w:val="28"/>
          <w:szCs w:val="28"/>
        </w:rPr>
      </w:pPr>
    </w:p>
    <w:p w14:paraId="3C87FEBC" w14:textId="4844459E" w:rsidR="00E67C80" w:rsidRPr="00E67C80" w:rsidRDefault="00E67C80">
      <w:pPr>
        <w:spacing w:after="160"/>
        <w:rPr>
          <w:rFonts w:ascii="Arial" w:eastAsia="Arial" w:hAnsi="Arial" w:cs="Arial"/>
          <w:b/>
          <w:bCs/>
          <w:sz w:val="28"/>
          <w:szCs w:val="28"/>
        </w:rPr>
      </w:pPr>
    </w:p>
    <w:p w14:paraId="7E2F97A2" w14:textId="02D92EDF" w:rsidR="00E67C80" w:rsidRPr="00E67C80" w:rsidRDefault="00E67C80">
      <w:pPr>
        <w:spacing w:after="160"/>
        <w:rPr>
          <w:rFonts w:ascii="Arial" w:eastAsia="Arial" w:hAnsi="Arial" w:cs="Arial"/>
          <w:b/>
          <w:bCs/>
          <w:sz w:val="28"/>
          <w:szCs w:val="28"/>
        </w:rPr>
      </w:pPr>
    </w:p>
    <w:p w14:paraId="60E7CECB" w14:textId="37F51AEA" w:rsidR="00E67C80" w:rsidRPr="00E67C80" w:rsidRDefault="00E67C80">
      <w:pPr>
        <w:spacing w:after="160"/>
        <w:rPr>
          <w:rFonts w:ascii="Arial" w:eastAsia="Arial" w:hAnsi="Arial" w:cs="Arial"/>
          <w:b/>
          <w:bCs/>
          <w:sz w:val="28"/>
          <w:szCs w:val="28"/>
        </w:rPr>
      </w:pPr>
    </w:p>
    <w:p w14:paraId="51165355" w14:textId="6087B2ED" w:rsidR="00E67C80" w:rsidRPr="00E67C80" w:rsidRDefault="00E67C80">
      <w:pPr>
        <w:spacing w:after="160"/>
        <w:rPr>
          <w:rFonts w:ascii="Arial" w:eastAsia="Arial" w:hAnsi="Arial" w:cs="Arial"/>
          <w:b/>
          <w:bCs/>
          <w:sz w:val="28"/>
          <w:szCs w:val="28"/>
        </w:rPr>
      </w:pPr>
    </w:p>
    <w:p w14:paraId="53CEC3D8" w14:textId="77777777" w:rsidR="002F4BCA" w:rsidRDefault="002F4BCA">
      <w:pPr>
        <w:spacing w:after="160"/>
        <w:rPr>
          <w:rFonts w:ascii="Arial" w:eastAsia="Arial" w:hAnsi="Arial" w:cs="Arial"/>
          <w:b/>
          <w:bCs/>
          <w:sz w:val="28"/>
          <w:szCs w:val="28"/>
        </w:rPr>
      </w:pPr>
    </w:p>
    <w:p w14:paraId="21F5F1EF" w14:textId="77777777" w:rsidR="002F4BCA" w:rsidRDefault="002F4BCA">
      <w:pPr>
        <w:spacing w:after="160"/>
        <w:rPr>
          <w:rFonts w:ascii="Arial" w:eastAsia="Arial" w:hAnsi="Arial" w:cs="Arial"/>
          <w:b/>
          <w:bCs/>
          <w:sz w:val="28"/>
          <w:szCs w:val="28"/>
        </w:rPr>
      </w:pPr>
    </w:p>
    <w:p w14:paraId="50E82023" w14:textId="3E3C14C7" w:rsidR="00E67C80" w:rsidRPr="00E67C80" w:rsidRDefault="00E67C80">
      <w:pPr>
        <w:spacing w:after="160"/>
        <w:rPr>
          <w:rFonts w:ascii="Arial" w:eastAsia="Arial" w:hAnsi="Arial" w:cs="Arial"/>
          <w:b/>
          <w:bCs/>
          <w:sz w:val="28"/>
          <w:szCs w:val="28"/>
        </w:rPr>
      </w:pPr>
      <w:r w:rsidRPr="00E67C80">
        <w:rPr>
          <w:rFonts w:ascii="Arial" w:eastAsia="Arial" w:hAnsi="Arial" w:cs="Arial"/>
          <w:b/>
          <w:bCs/>
          <w:sz w:val="28"/>
          <w:szCs w:val="28"/>
        </w:rPr>
        <w:t xml:space="preserve">Firmado: Nombre y apellidos </w:t>
      </w:r>
      <w:r w:rsidR="005E21E4" w:rsidRPr="005E21E4">
        <w:rPr>
          <w:rFonts w:ascii="Arial" w:eastAsia="Arial" w:hAnsi="Arial" w:cs="Arial"/>
          <w:b/>
          <w:bCs/>
          <w:sz w:val="28"/>
          <w:szCs w:val="28"/>
          <w:highlight w:val="yellow"/>
        </w:rPr>
        <w:t>Poner datos y firmar encima (borra este mensaje amarillo)</w:t>
      </w:r>
    </w:p>
    <w:p w14:paraId="5BE06F2C" w14:textId="77777777" w:rsidR="00E67C80" w:rsidRPr="00E67C80" w:rsidRDefault="00E67C80">
      <w:pPr>
        <w:spacing w:after="160"/>
        <w:rPr>
          <w:rFonts w:ascii="Arial" w:eastAsia="Arial" w:hAnsi="Arial" w:cs="Arial"/>
          <w:sz w:val="28"/>
          <w:szCs w:val="28"/>
        </w:rPr>
      </w:pPr>
    </w:p>
    <w:sectPr w:rsidR="00E67C80" w:rsidRPr="00E67C80" w:rsidSect="00B64741">
      <w:pgSz w:w="11906" w:h="16838"/>
      <w:pgMar w:top="851" w:right="707" w:bottom="709" w:left="85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230F"/>
    <w:multiLevelType w:val="hybridMultilevel"/>
    <w:tmpl w:val="5E6CE1D2"/>
    <w:lvl w:ilvl="0" w:tplc="B1BAA1F4">
      <w:start w:val="1"/>
      <w:numFmt w:val="bullet"/>
      <w:lvlText w:val="●"/>
      <w:lvlJc w:val="left"/>
      <w:pPr>
        <w:ind w:left="720" w:hanging="360"/>
      </w:pPr>
    </w:lvl>
    <w:lvl w:ilvl="1" w:tplc="8FC60254">
      <w:start w:val="1"/>
      <w:numFmt w:val="bullet"/>
      <w:lvlText w:val="○"/>
      <w:lvlJc w:val="left"/>
      <w:pPr>
        <w:ind w:left="1440" w:hanging="360"/>
      </w:pPr>
    </w:lvl>
    <w:lvl w:ilvl="2" w:tplc="8CF0617E">
      <w:start w:val="1"/>
      <w:numFmt w:val="bullet"/>
      <w:lvlText w:val="■"/>
      <w:lvlJc w:val="left"/>
      <w:pPr>
        <w:ind w:left="2160" w:hanging="360"/>
      </w:pPr>
    </w:lvl>
    <w:lvl w:ilvl="3" w:tplc="9BB63104">
      <w:start w:val="1"/>
      <w:numFmt w:val="bullet"/>
      <w:lvlText w:val="●"/>
      <w:lvlJc w:val="left"/>
      <w:pPr>
        <w:ind w:left="2880" w:hanging="360"/>
      </w:pPr>
    </w:lvl>
    <w:lvl w:ilvl="4" w:tplc="E738D900">
      <w:start w:val="1"/>
      <w:numFmt w:val="bullet"/>
      <w:lvlText w:val="○"/>
      <w:lvlJc w:val="left"/>
      <w:pPr>
        <w:ind w:left="3600" w:hanging="360"/>
      </w:pPr>
    </w:lvl>
    <w:lvl w:ilvl="5" w:tplc="7630A9FE">
      <w:start w:val="1"/>
      <w:numFmt w:val="bullet"/>
      <w:lvlText w:val="■"/>
      <w:lvlJc w:val="left"/>
      <w:pPr>
        <w:ind w:left="4320" w:hanging="360"/>
      </w:pPr>
    </w:lvl>
    <w:lvl w:ilvl="6" w:tplc="28D864E0">
      <w:start w:val="1"/>
      <w:numFmt w:val="bullet"/>
      <w:lvlText w:val="●"/>
      <w:lvlJc w:val="left"/>
      <w:pPr>
        <w:ind w:left="5040" w:hanging="360"/>
      </w:pPr>
    </w:lvl>
    <w:lvl w:ilvl="7" w:tplc="71E4D420">
      <w:start w:val="1"/>
      <w:numFmt w:val="bullet"/>
      <w:lvlText w:val="●"/>
      <w:lvlJc w:val="left"/>
      <w:pPr>
        <w:ind w:left="5760" w:hanging="360"/>
      </w:pPr>
    </w:lvl>
    <w:lvl w:ilvl="8" w:tplc="755242B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displayBackgroundShape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D2B"/>
    <w:rsid w:val="002F4BCA"/>
    <w:rsid w:val="003F71AB"/>
    <w:rsid w:val="005E21E4"/>
    <w:rsid w:val="00773F12"/>
    <w:rsid w:val="007C6F74"/>
    <w:rsid w:val="009079DA"/>
    <w:rsid w:val="00AA6919"/>
    <w:rsid w:val="00B64741"/>
    <w:rsid w:val="00C47D2B"/>
    <w:rsid w:val="00DD26A2"/>
    <w:rsid w:val="00DD7F73"/>
    <w:rsid w:val="00E6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2B3F6"/>
  <w15:docId w15:val="{5F609E44-ADF7-4BB8-8202-22C6E34CD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773F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2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.redsara.es/es/" TargetMode="External"/><Relationship Id="rId13" Type="http://schemas.openxmlformats.org/officeDocument/2006/relationships/hyperlink" Target="https://www.boe.es/buscar/act.php?id=BOE-A-1978-31229" TargetMode="External"/><Relationship Id="rId18" Type="http://schemas.openxmlformats.org/officeDocument/2006/relationships/hyperlink" Target="https://www.boe.es/buscar/act.php?id=BOE-A-1986-10498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eur-lex.europa.eu/legal-content/es/ALL/?uri=CELEX%3A32025R0327" TargetMode="External"/><Relationship Id="rId7" Type="http://schemas.openxmlformats.org/officeDocument/2006/relationships/hyperlink" Target="mailto:saniext@sanidad.gob.es" TargetMode="External"/><Relationship Id="rId12" Type="http://schemas.openxmlformats.org/officeDocument/2006/relationships/hyperlink" Target="https://www.boe.es/buscar/act.php?id=BOE-A-2015-10565" TargetMode="External"/><Relationship Id="rId17" Type="http://schemas.openxmlformats.org/officeDocument/2006/relationships/hyperlink" Target="https://www.sanidad.gob.es/en/profesionales/saludPublica/sanidadExterior/RSI/Pdf/RSI_2005.pdf" TargetMode="External"/><Relationship Id="rId25" Type="http://schemas.openxmlformats.org/officeDocument/2006/relationships/hyperlink" Target="https://reg.redsara.es/es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oe.es/buscar/act.php?id=BOE-A-1997-25336" TargetMode="External"/><Relationship Id="rId20" Type="http://schemas.openxmlformats.org/officeDocument/2006/relationships/hyperlink" Target="https://www.boe.es/buscar/act.php?id=BOE-A-2018-16673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saniext@sanidad.gob.es" TargetMode="External"/><Relationship Id="rId11" Type="http://schemas.openxmlformats.org/officeDocument/2006/relationships/hyperlink" Target="https://www.boe.es/buscar/doc.php?id=BOE-A-2016-9121" TargetMode="External"/><Relationship Id="rId24" Type="http://schemas.openxmlformats.org/officeDocument/2006/relationships/hyperlink" Target="https://www.boe.es/buscar/act.php?id=BOE-A-2015-10566" TargetMode="External"/><Relationship Id="rId5" Type="http://schemas.openxmlformats.org/officeDocument/2006/relationships/hyperlink" Target="https://reg.redsara.es/es/" TargetMode="External"/><Relationship Id="rId15" Type="http://schemas.openxmlformats.org/officeDocument/2006/relationships/hyperlink" Target="https://www.boe.es/buscar/act.php?id=BOE-A-2011-15623" TargetMode="External"/><Relationship Id="rId23" Type="http://schemas.openxmlformats.org/officeDocument/2006/relationships/hyperlink" Target="https://www.boe.es/buscar/act.php?id=BOE-A-2013-8191" TargetMode="External"/><Relationship Id="rId10" Type="http://schemas.openxmlformats.org/officeDocument/2006/relationships/hyperlink" Target="https://www.sanidad.gob.es/fr/normativa/docs/2026.07.31_CPP_PRD_Vacunacion_internacional.pdf" TargetMode="External"/><Relationship Id="rId19" Type="http://schemas.openxmlformats.org/officeDocument/2006/relationships/hyperlink" Target="https://eur-lex.europa.eu/legal-content/ES/TXT/?uri=CELEX:32016R06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anidad.gob.es/normativa/consultas/home.htm" TargetMode="External"/><Relationship Id="rId14" Type="http://schemas.openxmlformats.org/officeDocument/2006/relationships/hyperlink" Target="https://www.boe.es/buscar/act.php?id=BOE-A-2002-22188" TargetMode="External"/><Relationship Id="rId22" Type="http://schemas.openxmlformats.org/officeDocument/2006/relationships/hyperlink" Target="https://www.boe.es/buscar/act.php?id=BOE-A-2015-8343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13</Pages>
  <Words>4898</Words>
  <Characters>26942</Characters>
  <DocSecurity>0</DocSecurity>
  <Lines>224</Lines>
  <Paragraphs>63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2026-09-05T14:55:00Z</dcterms:created>
  <dcterms:modified xsi:type="dcterms:W3CDTF">2026-09-06T07:41:00Z</dcterms:modified>
</cp:coreProperties>
</file>